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EC4" w:rsidRDefault="00544EC4" w:rsidP="00CB3E0B">
      <w:pPr>
        <w:pStyle w:val="texto0"/>
        <w:spacing w:after="0" w:line="240" w:lineRule="auto"/>
        <w:jc w:val="center"/>
        <w:rPr>
          <w:rFonts w:ascii="Berlin Sans FB" w:hAnsi="Berlin Sans FB"/>
          <w:b/>
          <w:color w:val="1F497D"/>
          <w:sz w:val="48"/>
        </w:rPr>
      </w:pPr>
      <w:r>
        <w:rPr>
          <w:rFonts w:ascii="Berlin Sans FB" w:hAnsi="Berlin Sans FB"/>
          <w:b/>
          <w:color w:val="1F497D"/>
          <w:sz w:val="48"/>
        </w:rPr>
        <w:t xml:space="preserve">Top ten – </w:t>
      </w:r>
      <w:r w:rsidR="00047945">
        <w:rPr>
          <w:rFonts w:ascii="Berlin Sans FB" w:hAnsi="Berlin Sans FB"/>
          <w:b/>
          <w:color w:val="1F497D"/>
          <w:sz w:val="48"/>
        </w:rPr>
        <w:t>20</w:t>
      </w:r>
      <w:r>
        <w:rPr>
          <w:rFonts w:ascii="Berlin Sans FB" w:hAnsi="Berlin Sans FB"/>
          <w:b/>
          <w:color w:val="1F497D"/>
          <w:sz w:val="48"/>
        </w:rPr>
        <w:t xml:space="preserve">  mejores </w:t>
      </w:r>
    </w:p>
    <w:p w:rsidR="00CB3E0B" w:rsidRPr="007830FE" w:rsidRDefault="00544EC4" w:rsidP="00CB3E0B">
      <w:pPr>
        <w:pStyle w:val="texto0"/>
        <w:spacing w:after="0" w:line="240" w:lineRule="auto"/>
        <w:jc w:val="center"/>
        <w:rPr>
          <w:rFonts w:ascii="Berlin Sans FB" w:hAnsi="Berlin Sans FB"/>
          <w:b/>
          <w:color w:val="1F497D"/>
          <w:sz w:val="44"/>
        </w:rPr>
      </w:pPr>
      <w:r>
        <w:rPr>
          <w:rFonts w:ascii="Berlin Sans FB" w:hAnsi="Berlin Sans FB"/>
          <w:b/>
          <w:color w:val="1F497D"/>
          <w:sz w:val="48"/>
        </w:rPr>
        <w:t>Jurisprudencias 2011</w:t>
      </w:r>
    </w:p>
    <w:p w:rsidR="00CB3E0B" w:rsidRDefault="00544EC4" w:rsidP="00CB3E0B">
      <w:pPr>
        <w:pStyle w:val="texto0"/>
        <w:spacing w:after="0" w:line="240" w:lineRule="auto"/>
        <w:jc w:val="center"/>
        <w:rPr>
          <w:rFonts w:ascii="Berlin Sans FB" w:hAnsi="Berlin Sans FB"/>
          <w:b/>
          <w:sz w:val="32"/>
        </w:rPr>
      </w:pPr>
      <w:r>
        <w:rPr>
          <w:rFonts w:ascii="Berlin Sans FB" w:hAnsi="Berlin Sans FB"/>
          <w:b/>
          <w:sz w:val="32"/>
        </w:rPr>
        <w:t xml:space="preserve">Estrategias Fiscales </w:t>
      </w:r>
    </w:p>
    <w:p w:rsidR="00CB3E0B" w:rsidRDefault="00CB3E0B" w:rsidP="00CB3E0B">
      <w:pPr>
        <w:pStyle w:val="texto0"/>
        <w:spacing w:after="0" w:line="240" w:lineRule="auto"/>
        <w:rPr>
          <w:rFonts w:ascii="Berlin Sans FB" w:hAnsi="Berlin Sans FB"/>
          <w:b/>
          <w:sz w:val="32"/>
        </w:rPr>
      </w:pPr>
    </w:p>
    <w:p w:rsidR="001A56CC" w:rsidRPr="001A56CC" w:rsidRDefault="001A56CC" w:rsidP="00981D74">
      <w:pPr>
        <w:pStyle w:val="texto0"/>
        <w:spacing w:after="0" w:line="240" w:lineRule="auto"/>
        <w:rPr>
          <w:rFonts w:ascii="Arial Narrow" w:hAnsi="Arial Narrow"/>
          <w:b/>
          <w:sz w:val="24"/>
          <w:szCs w:val="22"/>
        </w:rPr>
      </w:pPr>
    </w:p>
    <w:p w:rsidR="004305CE" w:rsidRDefault="00544EC4" w:rsidP="004305CE">
      <w:pPr>
        <w:shd w:val="clear" w:color="auto" w:fill="FFFFFF"/>
        <w:spacing w:before="100" w:beforeAutospacing="1" w:after="100" w:afterAutospacing="1" w:line="384" w:lineRule="atLeast"/>
        <w:jc w:val="both"/>
        <w:rPr>
          <w:rFonts w:ascii="Arial Narrow" w:hAnsi="Arial Narrow" w:cs="Arial"/>
          <w:color w:val="444444"/>
          <w:sz w:val="28"/>
          <w:szCs w:val="28"/>
          <w:lang w:val="es-ES"/>
        </w:rPr>
      </w:pPr>
      <w:r w:rsidRPr="00544EC4">
        <w:rPr>
          <w:rFonts w:ascii="Arial Narrow" w:hAnsi="Arial Narrow" w:cs="Arial"/>
          <w:color w:val="444444"/>
          <w:sz w:val="28"/>
          <w:szCs w:val="28"/>
          <w:lang w:val="es-ES"/>
        </w:rPr>
        <w:t xml:space="preserve">La enorme importancia </w:t>
      </w:r>
      <w:r>
        <w:rPr>
          <w:rFonts w:ascii="Arial Narrow" w:hAnsi="Arial Narrow" w:cs="Arial"/>
          <w:color w:val="444444"/>
          <w:sz w:val="28"/>
          <w:szCs w:val="28"/>
          <w:lang w:val="es-ES"/>
        </w:rPr>
        <w:t>de conocer los criterios fiscales tanto de los Colegiados de Circuito como de la propia Suprema Corte de Justicia de la Nación, que están y muy por encima de las propias Leyes Fiscales, que estas últimas las adecuan al antojo y de la necesidad simple y única de recaudación, sin tomar en cuenta la equidad y proporcionalidad de cada contribuyente.</w:t>
      </w:r>
    </w:p>
    <w:p w:rsidR="00544EC4" w:rsidRDefault="00544EC4" w:rsidP="004305CE">
      <w:pPr>
        <w:shd w:val="clear" w:color="auto" w:fill="FFFFFF"/>
        <w:spacing w:before="100" w:beforeAutospacing="1" w:after="100" w:afterAutospacing="1" w:line="384" w:lineRule="atLeast"/>
        <w:jc w:val="both"/>
        <w:rPr>
          <w:rFonts w:ascii="Arial Narrow" w:hAnsi="Arial Narrow" w:cs="Arial"/>
          <w:color w:val="444444"/>
          <w:sz w:val="28"/>
          <w:szCs w:val="28"/>
          <w:lang w:val="es-ES"/>
        </w:rPr>
      </w:pPr>
      <w:r>
        <w:rPr>
          <w:rFonts w:ascii="Arial Narrow" w:hAnsi="Arial Narrow" w:cs="Arial"/>
          <w:color w:val="444444"/>
          <w:sz w:val="28"/>
          <w:szCs w:val="28"/>
          <w:lang w:val="es-ES"/>
        </w:rPr>
        <w:t>Resalta de indispensable el conocer las facultades y alcances del fisco de fondo, para delatar los enormes errores o agravios y buscar por siempre la nulidad lisa y llana.</w:t>
      </w:r>
    </w:p>
    <w:p w:rsidR="00544EC4" w:rsidRDefault="00544EC4" w:rsidP="004305CE">
      <w:pPr>
        <w:shd w:val="clear" w:color="auto" w:fill="FFFFFF"/>
        <w:spacing w:before="100" w:beforeAutospacing="1" w:after="100" w:afterAutospacing="1" w:line="384" w:lineRule="atLeast"/>
        <w:jc w:val="both"/>
        <w:rPr>
          <w:rFonts w:ascii="Arial Narrow" w:hAnsi="Arial Narrow" w:cs="Arial"/>
          <w:color w:val="444444"/>
          <w:sz w:val="28"/>
          <w:szCs w:val="28"/>
          <w:lang w:val="es-ES"/>
        </w:rPr>
      </w:pPr>
    </w:p>
    <w:p w:rsidR="00544EC4" w:rsidRPr="00544EC4" w:rsidRDefault="00544EC4" w:rsidP="004305CE">
      <w:pPr>
        <w:shd w:val="clear" w:color="auto" w:fill="FFFFFF"/>
        <w:spacing w:before="100" w:beforeAutospacing="1" w:after="100" w:afterAutospacing="1" w:line="384" w:lineRule="atLeast"/>
        <w:jc w:val="both"/>
        <w:rPr>
          <w:rFonts w:ascii="Arial Narrow" w:hAnsi="Arial Narrow" w:cs="Arial"/>
          <w:color w:val="444444"/>
          <w:sz w:val="28"/>
          <w:szCs w:val="28"/>
          <w:lang w:val="es-ES"/>
        </w:rPr>
      </w:pPr>
      <w:bookmarkStart w:id="0" w:name="_GoBack"/>
      <w:r>
        <w:rPr>
          <w:rFonts w:ascii="Arial Narrow" w:hAnsi="Arial Narrow" w:cs="Arial"/>
          <w:color w:val="444444"/>
          <w:sz w:val="28"/>
          <w:szCs w:val="28"/>
          <w:lang w:val="es-ES"/>
        </w:rPr>
        <w:t>Anexamos lo que a consideración son hasta noviembre 2011 los mejores criterios por Jurisprudencia tanto de TCC como de la SCJN.</w:t>
      </w:r>
      <w:bookmarkEnd w:id="0"/>
    </w:p>
    <w:p w:rsidR="00544EC4" w:rsidRPr="00693C27" w:rsidRDefault="00544EC4" w:rsidP="00544EC4">
      <w:pPr>
        <w:spacing w:line="360" w:lineRule="auto"/>
        <w:rPr>
          <w:rFonts w:ascii="Berlin Sans FB Demi" w:hAnsi="Berlin Sans FB Demi" w:cs="Arial"/>
          <w:b/>
          <w:color w:val="C00000"/>
          <w:sz w:val="36"/>
        </w:rPr>
      </w:pPr>
      <w:r>
        <w:rPr>
          <w:rFonts w:ascii="Berlin Sans FB Demi" w:hAnsi="Berlin Sans FB Demi" w:cs="Arial"/>
          <w:b/>
          <w:color w:val="C00000"/>
          <w:sz w:val="36"/>
        </w:rPr>
        <w:t xml:space="preserve">1.- </w:t>
      </w:r>
      <w:r w:rsidRPr="00693C27">
        <w:rPr>
          <w:rFonts w:ascii="Berlin Sans FB Demi" w:hAnsi="Berlin Sans FB Demi" w:cs="Arial"/>
          <w:b/>
          <w:color w:val="C00000"/>
          <w:sz w:val="36"/>
        </w:rPr>
        <w:t>Competencia Juridica de la Autoridad Fiscal</w:t>
      </w:r>
    </w:p>
    <w:p w:rsidR="00544EC4" w:rsidRPr="00693C27" w:rsidRDefault="00544EC4" w:rsidP="00544EC4">
      <w:pPr>
        <w:spacing w:line="360" w:lineRule="auto"/>
        <w:rPr>
          <w:rFonts w:ascii="Arial Narrow" w:hAnsi="Arial Narrow" w:cs="Arial"/>
          <w:b/>
          <w:color w:val="000000"/>
        </w:rPr>
      </w:pPr>
      <w:r w:rsidRPr="00693C27">
        <w:rPr>
          <w:rFonts w:ascii="Arial Narrow" w:hAnsi="Arial Narrow" w:cs="Arial"/>
          <w:b/>
          <w:color w:val="000000"/>
        </w:rPr>
        <w:t>2a./J. 9/2011</w:t>
      </w:r>
    </w:p>
    <w:p w:rsidR="00544EC4" w:rsidRDefault="00544EC4" w:rsidP="00544EC4">
      <w:pPr>
        <w:jc w:val="both"/>
        <w:rPr>
          <w:rFonts w:ascii="Arial Narrow" w:hAnsi="Arial Narrow" w:cs="Arial"/>
          <w:color w:val="000000"/>
        </w:rPr>
      </w:pPr>
      <w:r w:rsidRPr="00693C27">
        <w:rPr>
          <w:rFonts w:ascii="Arial Narrow" w:hAnsi="Arial Narrow" w:cs="Arial"/>
          <w:b/>
          <w:color w:val="000000"/>
        </w:rPr>
        <w:t xml:space="preserve">PROCEDIMIENTO CONTENCIOSO ADMINISTRATIVO. LOS ARTÍCULOS 50, SEGUNDO PÁRRAFO, Y 51, PENÚLTIMO PÁRRAFO, DE LA LEY FEDERAL RELATIVA, OBLIGAN AL EXAMEN PREFERENTE DE LOS CONCEPTOS DE IMPUGNACIÓN RELACIONADOS CON LA INCOMPETENCIA DE LA AUTORIDAD, PUES DE RESULTAR FUNDADOS HACEN INNECESARIO EL ESTUDIO DE LOS RESTANTES (LEGISLACIÓN VIGENTE ANTES DE LA REFORMA DEL 10 DE DICIEMBRE DE 2010). </w:t>
      </w:r>
      <w:r w:rsidRPr="00693C27">
        <w:rPr>
          <w:rFonts w:ascii="Arial Narrow" w:hAnsi="Arial Narrow" w:cs="Arial"/>
          <w:color w:val="000000"/>
        </w:rPr>
        <w:t xml:space="preserve">El artículo 50, segundo párrafo, de la Ley Federal de Procedimiento Contencioso Administrativo, al disponer que cuando se hagan valer diversas causales de ilegalidad, las Salas del Tribunal Federal de Justicia Fiscal y Administrativa deben analizar primero las que puedan llevar a declarar la nulidad lisa y llana, implica que dichos órganos jurisdiccionales están obligados a estudiar, en primer lugar, la impugnación que se haga de la competencia de la autoridad para emitir el acto cuya nulidad se demande, incluso de oficio, en términos del penúltimo párrafo del artículo 51 del mismo ordenamiento, el cual dispone que el Tribunal podrá examinar de oficio la incompetencia de la autoridad para dictar la resolución impugnada, análisis que, de llegar a resultar fundado, </w:t>
      </w:r>
      <w:r w:rsidRPr="00693C27">
        <w:rPr>
          <w:rFonts w:ascii="Arial Narrow" w:hAnsi="Arial Narrow" w:cs="Arial"/>
          <w:color w:val="000000"/>
        </w:rPr>
        <w:lastRenderedPageBreak/>
        <w:t>por haber sido impugnado o por así advertirlo oficiosamente el juzgador, conduce a la nulidad lisa y llana del acto enjuiciado, pues ese vicio, ya sea en su vertiente relacionada con la inexistencia de facultades o en la relativa a la insuficiente cita de apoyo en los preceptos legales que le brinden atribuciones a la autoridad administrativa emisora, significa que aquél carezca de valor jurídico, siendo ocioso abundar en los demás conceptos de anulación de fondo, porque no puede invalidarse un acto que ha sido legalmente destruido.</w:t>
      </w:r>
    </w:p>
    <w:p w:rsidR="00544EC4" w:rsidRPr="00693C27" w:rsidRDefault="00544EC4" w:rsidP="00544EC4">
      <w:pPr>
        <w:jc w:val="both"/>
        <w:rPr>
          <w:rFonts w:ascii="Arial Narrow" w:hAnsi="Arial Narrow" w:cs="Arial"/>
          <w:color w:val="000000"/>
        </w:rPr>
      </w:pPr>
    </w:p>
    <w:p w:rsidR="00544EC4" w:rsidRPr="00693C27" w:rsidRDefault="00544EC4" w:rsidP="00544EC4">
      <w:pPr>
        <w:jc w:val="both"/>
        <w:rPr>
          <w:rFonts w:ascii="Arial Narrow" w:hAnsi="Arial Narrow" w:cs="Arial"/>
          <w:color w:val="000000"/>
        </w:rPr>
      </w:pPr>
      <w:r w:rsidRPr="00693C27">
        <w:rPr>
          <w:rFonts w:ascii="Arial Narrow" w:hAnsi="Arial Narrow" w:cs="Arial"/>
          <w:b/>
          <w:color w:val="000000"/>
          <w:u w:val="single"/>
        </w:rPr>
        <w:t>Contradicción de tesis 294/2010</w:t>
      </w:r>
      <w:r w:rsidRPr="00693C27">
        <w:rPr>
          <w:rFonts w:ascii="Arial Narrow" w:hAnsi="Arial Narrow" w:cs="Arial"/>
          <w:color w:val="000000"/>
        </w:rPr>
        <w:t>.- Entre las sustentadas por el Primer y el Segundo Tribunales Colegiados Auxiliares, con residencia en Guadalajara, Jalisco, y el Cuarto Tribunal Colegiado en Materia Administrativa del Primer Circuito.- 8 de diciembre de 2010.- Cinco votos.- Ponente: Margarita Beatriz Luna Ramos.- Secretario: Alfredo Villeda Ayala.</w:t>
      </w:r>
    </w:p>
    <w:p w:rsidR="00544EC4" w:rsidRDefault="00544EC4" w:rsidP="00544EC4">
      <w:pPr>
        <w:rPr>
          <w:rFonts w:ascii="Arial Narrow" w:hAnsi="Arial Narrow"/>
        </w:rPr>
      </w:pPr>
    </w:p>
    <w:p w:rsidR="00544EC4" w:rsidRDefault="00544EC4" w:rsidP="00544EC4">
      <w:pPr>
        <w:rPr>
          <w:rFonts w:ascii="Arial Narrow" w:hAnsi="Arial Narrow" w:cs="Arial"/>
          <w:b/>
          <w:color w:val="000000"/>
        </w:rPr>
      </w:pPr>
      <w:r>
        <w:rPr>
          <w:rFonts w:ascii="Berlin Sans FB Demi" w:hAnsi="Berlin Sans FB Demi" w:cs="Arial"/>
          <w:b/>
          <w:color w:val="C00000"/>
          <w:sz w:val="36"/>
        </w:rPr>
        <w:t>2.- Multa con requerimiento previo</w:t>
      </w:r>
    </w:p>
    <w:p w:rsidR="00544EC4" w:rsidRDefault="00544EC4" w:rsidP="00544EC4">
      <w:pPr>
        <w:rPr>
          <w:rFonts w:ascii="Arial Narrow" w:hAnsi="Arial Narrow" w:cs="Arial"/>
          <w:b/>
          <w:color w:val="000000"/>
        </w:rPr>
      </w:pPr>
    </w:p>
    <w:p w:rsidR="00544EC4" w:rsidRPr="003620C1" w:rsidRDefault="00544EC4" w:rsidP="00544EC4">
      <w:pPr>
        <w:rPr>
          <w:rFonts w:ascii="Arial Narrow" w:eastAsia="Arial" w:hAnsi="Arial Narrow" w:cs="Arial"/>
          <w:b/>
          <w:color w:val="000000"/>
        </w:rPr>
      </w:pPr>
      <w:r w:rsidRPr="003620C1">
        <w:rPr>
          <w:rFonts w:ascii="Arial Narrow" w:eastAsia="Arial" w:hAnsi="Arial Narrow" w:cs="Arial"/>
          <w:b/>
          <w:color w:val="000000"/>
        </w:rPr>
        <w:t>2a./J. 206/2010</w:t>
      </w:r>
    </w:p>
    <w:p w:rsidR="00544EC4" w:rsidRPr="003620C1" w:rsidRDefault="00544EC4" w:rsidP="00544EC4">
      <w:pPr>
        <w:jc w:val="center"/>
        <w:rPr>
          <w:rFonts w:ascii="Arial Narrow" w:eastAsia="Arial" w:hAnsi="Arial Narrow" w:cs="Arial"/>
          <w:b/>
          <w:color w:val="000000"/>
        </w:rPr>
      </w:pPr>
    </w:p>
    <w:p w:rsidR="00544EC4" w:rsidRPr="003620C1" w:rsidRDefault="00544EC4" w:rsidP="00544EC4">
      <w:pPr>
        <w:jc w:val="both"/>
        <w:rPr>
          <w:rFonts w:ascii="Arial Narrow" w:eastAsia="Arial" w:hAnsi="Arial Narrow" w:cs="Arial"/>
          <w:color w:val="000000"/>
        </w:rPr>
      </w:pPr>
      <w:r w:rsidRPr="003620C1">
        <w:rPr>
          <w:rFonts w:ascii="Arial Narrow" w:eastAsia="Arial" w:hAnsi="Arial Narrow" w:cs="Arial"/>
          <w:b/>
          <w:color w:val="000000"/>
        </w:rPr>
        <w:t xml:space="preserve">MULTA POR CUMPLIMIENTO DE OBLIGACIONES FISCALES EN VIRTUD DE REQUERIMIENTO PREVIO DE LA AUTORIDAD FISCAL. SU FUNDAMENTACIÓN. </w:t>
      </w:r>
      <w:r w:rsidRPr="003620C1">
        <w:rPr>
          <w:rFonts w:ascii="Arial Narrow" w:eastAsia="Arial" w:hAnsi="Arial Narrow" w:cs="Arial"/>
          <w:color w:val="000000"/>
        </w:rPr>
        <w:t>Conforme al artículo 73 del Código Fiscal de la Federación, el contribuyente que incurra en alguna de las infracciones tipificadas por el artículo 81 fracción I, de dicho ordenamiento, por haber omitido el cumplimiento de alguna de las obligaciones fiscales, no podrá ser sancionado en tanto cumpla voluntariamente con dicha obligación; esto es, para que el cumplimiento sea voluntario no debe mediar requerimiento de la autoridad exactora, pues éste tiene como efecto eliminar toda posibilidad de cumplir voluntariamente la obligación omitida y de concretar la exigencia de cumplimiento dentro del plazo en él establecido. Por tanto, si la autoridad requiere al contribuyente para que dentro de un plazo perentorio cumpla con la obligación omitida, ello no impide que, con fundamento en el artículo 82, fracción I, inciso d), en relación con su inciso a), del citado ordenamiento legal, imponga la multa correspondiente, pues lo que se sanciona es una omisión ya configurada por no haber presentado oportunamente la declaración relativa. De ahí que de la interpretación sistemática de los preceptos relativos, se concluye que si la autoridad exactora impone la multa señalando que lo hace por haber mediado requerimiento, ello significa que el cumplimiento de la obligación no fue voluntario y en tal supuesto la multa impuesta tiene, por ese motivo, la debida fundamentación legal.</w:t>
      </w:r>
    </w:p>
    <w:p w:rsidR="00544EC4" w:rsidRPr="003620C1" w:rsidRDefault="00544EC4" w:rsidP="00544EC4">
      <w:pPr>
        <w:jc w:val="both"/>
        <w:rPr>
          <w:rFonts w:ascii="Arial Narrow" w:eastAsia="Arial" w:hAnsi="Arial Narrow" w:cs="Arial"/>
          <w:color w:val="000000"/>
        </w:rPr>
      </w:pPr>
    </w:p>
    <w:p w:rsidR="00544EC4" w:rsidRPr="003620C1" w:rsidRDefault="00544EC4" w:rsidP="00544EC4">
      <w:pPr>
        <w:jc w:val="both"/>
        <w:rPr>
          <w:rFonts w:ascii="Arial Narrow" w:eastAsia="Arial" w:hAnsi="Arial Narrow" w:cs="Arial"/>
          <w:color w:val="000000"/>
        </w:rPr>
      </w:pPr>
      <w:r w:rsidRPr="003620C1">
        <w:rPr>
          <w:rFonts w:ascii="Arial Narrow" w:eastAsia="Arial" w:hAnsi="Arial Narrow" w:cs="Arial"/>
          <w:b/>
          <w:color w:val="000000"/>
          <w:u w:val="single"/>
        </w:rPr>
        <w:t>Contradicción de tesis 367/2010</w:t>
      </w:r>
      <w:r w:rsidRPr="003620C1">
        <w:rPr>
          <w:rFonts w:ascii="Arial Narrow" w:eastAsia="Arial" w:hAnsi="Arial Narrow" w:cs="Arial"/>
          <w:color w:val="000000"/>
        </w:rPr>
        <w:t xml:space="preserve">.- Entre las sustentadas por el Primer Tribunal Colegiado en Materias Administrativa y de Trabajo del Décimo Primer Circuito y el entonces Primer Tribunal Colegiado del Décimo Primer Circuito, actual Tribunal Colegiado en Materia Civil del Décimo Primer Circuito.- 1 de diciembre de 2010.- Mayoría de cuatro votos.- Disidente: Luis María Aguilar Morales.- Ponente: Ministro Sergio A. Valls Hernández.- Secretario: Arnoldo Castellanos </w:t>
      </w:r>
      <w:proofErr w:type="spellStart"/>
      <w:r w:rsidRPr="003620C1">
        <w:rPr>
          <w:rFonts w:ascii="Arial Narrow" w:eastAsia="Arial" w:hAnsi="Arial Narrow" w:cs="Arial"/>
          <w:color w:val="000000"/>
        </w:rPr>
        <w:t>Morfín</w:t>
      </w:r>
      <w:proofErr w:type="spellEnd"/>
      <w:r w:rsidRPr="003620C1">
        <w:rPr>
          <w:rFonts w:ascii="Arial Narrow" w:eastAsia="Arial" w:hAnsi="Arial Narrow" w:cs="Arial"/>
          <w:color w:val="000000"/>
        </w:rPr>
        <w:t>.</w:t>
      </w:r>
    </w:p>
    <w:p w:rsidR="00544EC4" w:rsidRPr="00DE73C7" w:rsidRDefault="00544EC4" w:rsidP="00544EC4">
      <w:pPr>
        <w:jc w:val="both"/>
        <w:rPr>
          <w:rFonts w:ascii="Arial" w:eastAsia="Arial" w:hAnsi="Arial" w:cs="Arial"/>
          <w:color w:val="000000"/>
        </w:rPr>
      </w:pPr>
    </w:p>
    <w:p w:rsidR="00544EC4" w:rsidRDefault="00544EC4" w:rsidP="00544EC4">
      <w:pPr>
        <w:jc w:val="both"/>
        <w:rPr>
          <w:rFonts w:ascii="Berlin Sans FB Demi" w:hAnsi="Berlin Sans FB Demi" w:cs="Arial"/>
          <w:b/>
          <w:color w:val="C00000"/>
          <w:sz w:val="36"/>
        </w:rPr>
      </w:pPr>
    </w:p>
    <w:p w:rsidR="00544EC4" w:rsidRDefault="00544EC4" w:rsidP="00544EC4">
      <w:pPr>
        <w:jc w:val="both"/>
        <w:rPr>
          <w:rFonts w:ascii="Berlin Sans FB Demi" w:hAnsi="Berlin Sans FB Demi" w:cs="Arial"/>
          <w:b/>
          <w:color w:val="C00000"/>
          <w:sz w:val="36"/>
        </w:rPr>
      </w:pPr>
    </w:p>
    <w:p w:rsidR="00544EC4" w:rsidRDefault="00544EC4" w:rsidP="00544EC4">
      <w:pPr>
        <w:jc w:val="both"/>
        <w:rPr>
          <w:rFonts w:ascii="Berlin Sans FB Demi" w:hAnsi="Berlin Sans FB Demi" w:cs="Arial"/>
          <w:b/>
          <w:color w:val="C00000"/>
          <w:sz w:val="36"/>
        </w:rPr>
      </w:pPr>
    </w:p>
    <w:p w:rsidR="00544EC4" w:rsidRDefault="00544EC4" w:rsidP="00544EC4">
      <w:pPr>
        <w:jc w:val="both"/>
        <w:rPr>
          <w:rFonts w:ascii="Berlin Sans FB Demi" w:hAnsi="Berlin Sans FB Demi" w:cs="Arial"/>
          <w:b/>
          <w:color w:val="C00000"/>
          <w:sz w:val="36"/>
        </w:rPr>
      </w:pPr>
    </w:p>
    <w:p w:rsidR="00544EC4" w:rsidRPr="00693C27" w:rsidRDefault="00544EC4" w:rsidP="00544EC4">
      <w:pPr>
        <w:jc w:val="both"/>
        <w:rPr>
          <w:rFonts w:ascii="Berlin Sans FB Demi" w:hAnsi="Berlin Sans FB Demi" w:cs="Arial"/>
          <w:b/>
          <w:color w:val="C00000"/>
          <w:sz w:val="36"/>
        </w:rPr>
      </w:pPr>
      <w:r>
        <w:rPr>
          <w:rFonts w:ascii="Berlin Sans FB Demi" w:hAnsi="Berlin Sans FB Demi" w:cs="Arial"/>
          <w:b/>
          <w:color w:val="C00000"/>
          <w:sz w:val="36"/>
        </w:rPr>
        <w:lastRenderedPageBreak/>
        <w:t xml:space="preserve">3.- </w:t>
      </w:r>
      <w:r w:rsidRPr="00693C27">
        <w:rPr>
          <w:rFonts w:ascii="Berlin Sans FB Demi" w:hAnsi="Berlin Sans FB Demi" w:cs="Arial"/>
          <w:b/>
          <w:color w:val="C00000"/>
          <w:sz w:val="36"/>
        </w:rPr>
        <w:t>Competencia</w:t>
      </w:r>
      <w:r>
        <w:rPr>
          <w:rFonts w:ascii="Berlin Sans FB Demi" w:hAnsi="Berlin Sans FB Demi" w:cs="Arial"/>
          <w:b/>
          <w:color w:val="C00000"/>
          <w:sz w:val="36"/>
        </w:rPr>
        <w:t xml:space="preserve"> Juridica del Administrador Local de Auditoría Fiscal</w:t>
      </w:r>
    </w:p>
    <w:p w:rsidR="00544EC4" w:rsidRDefault="00544EC4" w:rsidP="00544EC4">
      <w:pPr>
        <w:rPr>
          <w:rFonts w:ascii="Arial Narrow" w:hAnsi="Arial Narrow"/>
        </w:rPr>
      </w:pPr>
    </w:p>
    <w:p w:rsidR="00544EC4" w:rsidRPr="00693C27" w:rsidRDefault="00544EC4" w:rsidP="00544EC4">
      <w:pPr>
        <w:rPr>
          <w:rFonts w:ascii="Arial Narrow" w:hAnsi="Arial Narrow"/>
          <w:color w:val="000000"/>
          <w:lang w:val="es-ES" w:eastAsia="es-ES"/>
        </w:rPr>
      </w:pPr>
      <w:r w:rsidRPr="00693C27">
        <w:rPr>
          <w:rFonts w:ascii="Arial Narrow" w:hAnsi="Arial Narrow"/>
          <w:b/>
          <w:bCs/>
          <w:color w:val="000000"/>
          <w:lang w:val="es-ES" w:eastAsia="es-ES"/>
        </w:rPr>
        <w:t xml:space="preserve">Registro No. </w:t>
      </w:r>
      <w:r w:rsidRPr="00693C27">
        <w:rPr>
          <w:rFonts w:ascii="Arial Narrow" w:hAnsi="Arial Narrow"/>
          <w:color w:val="000000"/>
          <w:lang w:val="es-ES" w:eastAsia="es-ES"/>
        </w:rPr>
        <w:t>161925</w:t>
      </w:r>
    </w:p>
    <w:p w:rsidR="00544EC4" w:rsidRPr="00693C27" w:rsidRDefault="00544EC4" w:rsidP="00544EC4">
      <w:pPr>
        <w:rPr>
          <w:rFonts w:ascii="Arial Narrow" w:hAnsi="Arial Narrow"/>
          <w:color w:val="000000"/>
          <w:lang w:val="es-ES" w:eastAsia="es-ES"/>
        </w:rPr>
      </w:pPr>
      <w:r w:rsidRPr="00693C27">
        <w:rPr>
          <w:rFonts w:ascii="Arial Narrow" w:hAnsi="Arial Narrow"/>
          <w:b/>
          <w:bCs/>
          <w:color w:val="000000"/>
          <w:lang w:val="es-ES" w:eastAsia="es-ES"/>
        </w:rPr>
        <w:t>Localización:</w:t>
      </w:r>
      <w:r w:rsidRPr="00693C27">
        <w:rPr>
          <w:rFonts w:ascii="Arial Narrow" w:hAnsi="Arial Narrow"/>
          <w:color w:val="000000"/>
          <w:lang w:val="es-ES" w:eastAsia="es-ES"/>
        </w:rPr>
        <w:br/>
        <w:t>Novena Época</w:t>
      </w:r>
      <w:r w:rsidRPr="00693C27">
        <w:rPr>
          <w:rFonts w:ascii="Arial Narrow" w:hAnsi="Arial Narrow"/>
          <w:color w:val="000000"/>
          <w:lang w:val="es-ES" w:eastAsia="es-ES"/>
        </w:rPr>
        <w:br/>
        <w:t>Instancia: Tribunales Colegiados de Circuito</w:t>
      </w:r>
      <w:r w:rsidRPr="00693C27">
        <w:rPr>
          <w:rFonts w:ascii="Arial Narrow" w:hAnsi="Arial Narrow"/>
          <w:color w:val="000000"/>
          <w:lang w:val="es-ES" w:eastAsia="es-ES"/>
        </w:rPr>
        <w:br/>
        <w:t>Fuente: Semanario Judicial de la Federación y su Gaceta</w:t>
      </w:r>
      <w:r w:rsidRPr="00693C27">
        <w:rPr>
          <w:rFonts w:ascii="Arial Narrow" w:hAnsi="Arial Narrow"/>
          <w:color w:val="000000"/>
          <w:lang w:val="es-ES" w:eastAsia="es-ES"/>
        </w:rPr>
        <w:br/>
        <w:t>XXXIII, Junio de 2011</w:t>
      </w:r>
      <w:r w:rsidRPr="00693C27">
        <w:rPr>
          <w:rFonts w:ascii="Arial Narrow" w:hAnsi="Arial Narrow"/>
          <w:color w:val="000000"/>
          <w:lang w:val="es-ES" w:eastAsia="es-ES"/>
        </w:rPr>
        <w:br/>
        <w:t>Página: 898</w:t>
      </w:r>
      <w:r w:rsidRPr="00693C27">
        <w:rPr>
          <w:rFonts w:ascii="Arial Narrow" w:hAnsi="Arial Narrow"/>
          <w:color w:val="000000"/>
          <w:lang w:val="es-ES" w:eastAsia="es-ES"/>
        </w:rPr>
        <w:br/>
        <w:t>Tesis: XXI.2o.P.A. J/48</w:t>
      </w:r>
      <w:r w:rsidRPr="00693C27">
        <w:rPr>
          <w:rFonts w:ascii="Arial Narrow" w:hAnsi="Arial Narrow"/>
          <w:color w:val="000000"/>
          <w:lang w:val="es-ES" w:eastAsia="es-ES"/>
        </w:rPr>
        <w:br/>
      </w:r>
      <w:r w:rsidRPr="00693C27">
        <w:rPr>
          <w:rFonts w:ascii="Arial Narrow" w:hAnsi="Arial Narrow"/>
          <w:b/>
          <w:color w:val="000000"/>
          <w:u w:val="single"/>
          <w:lang w:val="es-ES" w:eastAsia="es-ES"/>
        </w:rPr>
        <w:t>Jurisprudencia</w:t>
      </w:r>
      <w:r w:rsidRPr="00693C27">
        <w:rPr>
          <w:rFonts w:ascii="Arial Narrow" w:hAnsi="Arial Narrow"/>
          <w:b/>
          <w:color w:val="000000"/>
          <w:u w:val="single"/>
          <w:lang w:val="es-ES" w:eastAsia="es-ES"/>
        </w:rPr>
        <w:br/>
      </w:r>
      <w:r w:rsidRPr="00693C27">
        <w:rPr>
          <w:rFonts w:ascii="Arial Narrow" w:hAnsi="Arial Narrow"/>
          <w:color w:val="000000"/>
          <w:lang w:val="es-ES" w:eastAsia="es-ES"/>
        </w:rPr>
        <w:t>Materia(s): Administrativa</w:t>
      </w:r>
    </w:p>
    <w:p w:rsidR="00544EC4" w:rsidRPr="00693C27" w:rsidRDefault="00544EC4" w:rsidP="00544EC4">
      <w:pPr>
        <w:spacing w:before="100" w:beforeAutospacing="1" w:after="100" w:afterAutospacing="1"/>
        <w:jc w:val="both"/>
        <w:rPr>
          <w:rFonts w:ascii="Arial Narrow" w:hAnsi="Arial Narrow"/>
          <w:color w:val="000000"/>
          <w:lang w:val="es-ES" w:eastAsia="es-ES"/>
        </w:rPr>
      </w:pPr>
      <w:r w:rsidRPr="00693C27">
        <w:rPr>
          <w:rFonts w:ascii="Arial Narrow" w:hAnsi="Arial Narrow"/>
          <w:b/>
          <w:bCs/>
          <w:color w:val="000000"/>
          <w:lang w:val="es-ES" w:eastAsia="es-ES"/>
        </w:rPr>
        <w:t>ADMINISTRACIÓN LOCAL DE AUDITORÍA FISCAL DE ACAPULCO. SI FUNDA SU COMPETENCIA MATERIAL PARA IMPONER SANCIONES EN LOS ARTÍCULOS 9, FRACCIÓN XXXI Y 10, FRACCIÓN I, DEL REGLAMENTO INTERIOR DEL SERVICIO DE ADMINISTRACIÓN TRIBUTARIA, CUMPLE CON EL REQUISITO DE LA DEBIDA FUNDAMENTACIÓN.</w:t>
      </w:r>
      <w:r w:rsidRPr="00693C27">
        <w:rPr>
          <w:rFonts w:ascii="Arial Narrow" w:hAnsi="Arial Narrow"/>
          <w:color w:val="000000"/>
          <w:lang w:val="es-ES" w:eastAsia="es-ES"/>
        </w:rPr>
        <w:t xml:space="preserve"> </w:t>
      </w:r>
    </w:p>
    <w:p w:rsidR="00544EC4" w:rsidRPr="00693C27" w:rsidRDefault="00544EC4" w:rsidP="00544EC4">
      <w:pPr>
        <w:spacing w:before="100" w:beforeAutospacing="1" w:after="100" w:afterAutospacing="1"/>
        <w:jc w:val="both"/>
        <w:rPr>
          <w:rFonts w:ascii="Arial Narrow" w:hAnsi="Arial Narrow"/>
          <w:color w:val="000000"/>
          <w:lang w:val="es-ES" w:eastAsia="es-ES"/>
        </w:rPr>
      </w:pPr>
      <w:r w:rsidRPr="00693C27">
        <w:rPr>
          <w:rFonts w:ascii="Arial Narrow" w:hAnsi="Arial Narrow"/>
          <w:color w:val="000000"/>
          <w:lang w:val="es-ES" w:eastAsia="es-ES"/>
        </w:rPr>
        <w:t>Para cumplir con el requisito de la debida fundamentación establecido en el artículo 16 de la Constitución Política de los Estados Unidos Mexicanos, es necesario que la autoridad precise su competencia por razón de materia, grado o territorio, con base en la ley, reglamento, decreto o acuerdo que le otorgue dicha atribución. En congruencia con lo anterior, si para imponer sanciones por infracciones a disposiciones fiscales, la Administración Local de Auditoría Fiscal de Acapulco funda su competencia material en los artículos 9, fracción XXXI y 10, fracción I, del Reglamento Interior del Servicio de Administración Tributaria, ello es suficiente para estimar que cumplió con la indicada exigencia constitucional.</w:t>
      </w:r>
    </w:p>
    <w:p w:rsidR="00544EC4" w:rsidRPr="00693C27" w:rsidRDefault="00544EC4" w:rsidP="00544EC4">
      <w:pPr>
        <w:spacing w:before="100" w:beforeAutospacing="1" w:after="100" w:afterAutospacing="1"/>
        <w:jc w:val="both"/>
        <w:rPr>
          <w:rFonts w:ascii="Arial Narrow" w:hAnsi="Arial Narrow"/>
          <w:color w:val="000000"/>
          <w:lang w:val="es-ES" w:eastAsia="es-ES"/>
        </w:rPr>
      </w:pPr>
      <w:r w:rsidRPr="00693C27">
        <w:rPr>
          <w:rFonts w:ascii="Arial Narrow" w:hAnsi="Arial Narrow"/>
          <w:color w:val="000000"/>
          <w:lang w:val="es-ES" w:eastAsia="es-ES"/>
        </w:rPr>
        <w:t>SEGUNDO TRIBUNAL COLEGIADO EN MATERIAS PENAL Y ADMINISTRATIVA DEL VIGÉSIMO PRIMER CIRCUITO.</w:t>
      </w:r>
    </w:p>
    <w:p w:rsidR="00544EC4" w:rsidRPr="00693C27" w:rsidRDefault="00544EC4" w:rsidP="00544EC4">
      <w:pPr>
        <w:spacing w:before="100" w:beforeAutospacing="1" w:after="100" w:afterAutospacing="1"/>
        <w:jc w:val="both"/>
        <w:rPr>
          <w:rFonts w:ascii="Arial Narrow" w:hAnsi="Arial Narrow"/>
          <w:color w:val="000000"/>
          <w:lang w:val="es-ES" w:eastAsia="es-ES"/>
        </w:rPr>
      </w:pPr>
      <w:r w:rsidRPr="00693C27">
        <w:rPr>
          <w:rFonts w:ascii="Arial Narrow" w:hAnsi="Arial Narrow"/>
          <w:color w:val="000000"/>
          <w:lang w:val="es-ES" w:eastAsia="es-ES"/>
        </w:rPr>
        <w:t>Revisión fiscal 480/2009. Administrador Local Jurídico de Acapulco, en representación del Secretario de Hacienda y Crédito Público y otros. 30 de abril de 2010. Unanimidad de votos. Ponente: Jesús Rafael Aragón. Secretario: César Alberto Santana Saldaña.</w:t>
      </w:r>
    </w:p>
    <w:p w:rsidR="00544EC4" w:rsidRPr="00693C27" w:rsidRDefault="00544EC4" w:rsidP="00544EC4">
      <w:pPr>
        <w:spacing w:before="100" w:beforeAutospacing="1" w:after="100" w:afterAutospacing="1"/>
        <w:jc w:val="both"/>
        <w:rPr>
          <w:rFonts w:ascii="Arial Narrow" w:hAnsi="Arial Narrow"/>
          <w:color w:val="000000"/>
          <w:lang w:val="es-ES" w:eastAsia="es-ES"/>
        </w:rPr>
      </w:pPr>
      <w:r w:rsidRPr="00693C27">
        <w:rPr>
          <w:rFonts w:ascii="Arial Narrow" w:hAnsi="Arial Narrow"/>
          <w:color w:val="000000"/>
          <w:lang w:val="es-ES" w:eastAsia="es-ES"/>
        </w:rPr>
        <w:t xml:space="preserve">Revisión fiscal 265/2010. Secretario de Hacienda y Crédito Público y otros. 19 de noviembre de 2010. Unanimidad de votos. Ponente: Martiniano Bautista Espinosa. Secretario: J. </w:t>
      </w:r>
      <w:proofErr w:type="spellStart"/>
      <w:r w:rsidRPr="00693C27">
        <w:rPr>
          <w:rFonts w:ascii="Arial Narrow" w:hAnsi="Arial Narrow"/>
          <w:color w:val="000000"/>
          <w:lang w:val="es-ES" w:eastAsia="es-ES"/>
        </w:rPr>
        <w:t>Ascención</w:t>
      </w:r>
      <w:proofErr w:type="spellEnd"/>
      <w:r w:rsidRPr="00693C27">
        <w:rPr>
          <w:rFonts w:ascii="Arial Narrow" w:hAnsi="Arial Narrow"/>
          <w:color w:val="000000"/>
          <w:lang w:val="es-ES" w:eastAsia="es-ES"/>
        </w:rPr>
        <w:t xml:space="preserve"> Goicochea Antúnez.</w:t>
      </w:r>
    </w:p>
    <w:p w:rsidR="00544EC4" w:rsidRPr="00693C27" w:rsidRDefault="00544EC4" w:rsidP="00544EC4">
      <w:pPr>
        <w:spacing w:before="100" w:beforeAutospacing="1" w:after="100" w:afterAutospacing="1"/>
        <w:jc w:val="both"/>
        <w:rPr>
          <w:rFonts w:ascii="Arial Narrow" w:hAnsi="Arial Narrow"/>
          <w:color w:val="000000"/>
          <w:lang w:val="es-ES" w:eastAsia="es-ES"/>
        </w:rPr>
      </w:pPr>
      <w:r w:rsidRPr="00693C27">
        <w:rPr>
          <w:rFonts w:ascii="Arial Narrow" w:hAnsi="Arial Narrow"/>
          <w:color w:val="000000"/>
          <w:lang w:val="es-ES" w:eastAsia="es-ES"/>
        </w:rPr>
        <w:t>Revisión fiscal 303/2010. Secretario de Hacienda y Crédito Público y otros. 11 de febrero de 2011. Unanimidad de votos. Ponente: Jesús Rafael Aragón. Secretaria: Silvia Galindo Andrade.</w:t>
      </w:r>
      <w:r w:rsidRPr="00693C27">
        <w:rPr>
          <w:rFonts w:ascii="Arial Narrow" w:hAnsi="Arial Narrow"/>
          <w:color w:val="000000"/>
          <w:lang w:val="es-ES" w:eastAsia="es-ES"/>
        </w:rPr>
        <w:br/>
      </w:r>
      <w:r w:rsidRPr="00693C27">
        <w:rPr>
          <w:rFonts w:ascii="Arial Narrow" w:hAnsi="Arial Narrow"/>
          <w:color w:val="000000"/>
          <w:lang w:val="es-ES" w:eastAsia="es-ES"/>
        </w:rPr>
        <w:br/>
        <w:t xml:space="preserve">Revisión fiscal 301/2010. Secretario de Hacienda y Crédito Público y otros. 17 de febrero de 2011. Unanimidad de votos. Ponente: Guadalupe Juárez Martínez, secretaria de tribunal autorizada por la Comisión de Carrera </w:t>
      </w:r>
      <w:r w:rsidRPr="00693C27">
        <w:rPr>
          <w:rFonts w:ascii="Arial Narrow" w:hAnsi="Arial Narrow"/>
          <w:color w:val="000000"/>
          <w:lang w:val="es-ES" w:eastAsia="es-ES"/>
        </w:rPr>
        <w:lastRenderedPageBreak/>
        <w:t>Judicial del Consejo de la Judicatura Federal para desempeñar las funciones de Magistrada. Secretario: Zeus Hernández Zamora.</w:t>
      </w:r>
    </w:p>
    <w:p w:rsidR="00544EC4" w:rsidRPr="00693C27" w:rsidRDefault="00544EC4" w:rsidP="00544EC4">
      <w:pPr>
        <w:spacing w:before="100" w:beforeAutospacing="1" w:after="100" w:afterAutospacing="1"/>
        <w:jc w:val="both"/>
        <w:rPr>
          <w:rFonts w:ascii="Arial Narrow" w:hAnsi="Arial Narrow" w:cs="Calibri"/>
        </w:rPr>
      </w:pPr>
      <w:r w:rsidRPr="00693C27">
        <w:rPr>
          <w:rFonts w:ascii="Arial Narrow" w:hAnsi="Arial Narrow"/>
          <w:color w:val="000000"/>
          <w:lang w:val="es-ES" w:eastAsia="es-ES"/>
        </w:rPr>
        <w:t>Revisión fiscal 7/2011. Secretario de Hacienda y Crédito Público y otros. 17 de febrero de 2011. Unanimidad de votos. Ponente: Jesús Rafael Aragón. Secretario: César Alberto Santana Saldaña</w:t>
      </w:r>
    </w:p>
    <w:p w:rsidR="00544EC4" w:rsidRDefault="00544EC4" w:rsidP="00544EC4">
      <w:pPr>
        <w:jc w:val="both"/>
        <w:rPr>
          <w:rFonts w:ascii="Arial Narrow" w:hAnsi="Arial Narrow"/>
        </w:rPr>
      </w:pPr>
    </w:p>
    <w:p w:rsidR="00047945" w:rsidRDefault="00CA5323" w:rsidP="00544EC4">
      <w:pPr>
        <w:jc w:val="both"/>
        <w:rPr>
          <w:rFonts w:ascii="Berlin Sans FB Demi" w:hAnsi="Berlin Sans FB Demi" w:cs="Arial"/>
          <w:b/>
          <w:color w:val="C00000"/>
          <w:sz w:val="36"/>
        </w:rPr>
      </w:pPr>
      <w:r>
        <w:rPr>
          <w:rFonts w:ascii="Berlin Sans FB Demi" w:hAnsi="Berlin Sans FB Demi" w:cs="Arial"/>
          <w:b/>
          <w:color w:val="C00000"/>
          <w:sz w:val="36"/>
        </w:rPr>
        <w:t>4</w:t>
      </w:r>
      <w:r w:rsidR="00047945">
        <w:rPr>
          <w:rFonts w:ascii="Berlin Sans FB Demi" w:hAnsi="Berlin Sans FB Demi" w:cs="Arial"/>
          <w:b/>
          <w:color w:val="C00000"/>
          <w:sz w:val="36"/>
        </w:rPr>
        <w:t>.- Competencia de la Autoridad – falta de fundamentación</w:t>
      </w:r>
    </w:p>
    <w:p w:rsidR="00047945" w:rsidRDefault="00047945" w:rsidP="00544EC4">
      <w:pPr>
        <w:jc w:val="both"/>
        <w:rPr>
          <w:rFonts w:ascii="Berlin Sans FB Demi" w:hAnsi="Berlin Sans FB Demi" w:cs="Arial"/>
          <w:b/>
          <w:color w:val="C00000"/>
          <w:sz w:val="36"/>
        </w:rPr>
      </w:pPr>
    </w:p>
    <w:p w:rsidR="00047945" w:rsidRPr="00047945" w:rsidRDefault="00047945" w:rsidP="00047945">
      <w:pPr>
        <w:spacing w:before="100" w:beforeAutospacing="1" w:after="100" w:afterAutospacing="1"/>
        <w:rPr>
          <w:rFonts w:ascii="Arial Narrow" w:hAnsi="Arial Narrow" w:cs="Arial"/>
          <w:b/>
          <w:color w:val="000000"/>
        </w:rPr>
      </w:pPr>
      <w:r w:rsidRPr="00047945">
        <w:rPr>
          <w:rFonts w:ascii="Arial Narrow" w:hAnsi="Arial Narrow" w:cs="Arial"/>
          <w:b/>
          <w:color w:val="000000"/>
        </w:rPr>
        <w:t>2a./J. 174/2011 (9a.)</w:t>
      </w:r>
    </w:p>
    <w:p w:rsidR="00047945" w:rsidRPr="00047945" w:rsidRDefault="00047945" w:rsidP="00047945">
      <w:pPr>
        <w:spacing w:before="100" w:beforeAutospacing="1" w:after="100" w:afterAutospacing="1"/>
        <w:jc w:val="both"/>
        <w:rPr>
          <w:rFonts w:ascii="Arial Narrow" w:hAnsi="Arial Narrow" w:cs="Arial"/>
          <w:b/>
          <w:color w:val="000000"/>
        </w:rPr>
      </w:pPr>
      <w:r w:rsidRPr="00047945">
        <w:rPr>
          <w:rFonts w:ascii="Arial Narrow" w:hAnsi="Arial Narrow" w:cs="Arial"/>
          <w:b/>
          <w:color w:val="000000"/>
        </w:rPr>
        <w:t xml:space="preserve">COMPETENCIA DE LAS AUTORIDADES ADMINISTRATIVAS. INAPLICABILIDAD DE LOS SUPUESTOS PREVISTOS EN EL ARTÍCULO 51, SEGUNDO PÁRRAFO, INCISO D), DE LA LEY FEDERAL DE PROCEDIMIENTO CONTENCIOSO ADMINISTRATIVO. </w:t>
      </w:r>
    </w:p>
    <w:p w:rsidR="00047945" w:rsidRPr="00047945" w:rsidRDefault="00047945" w:rsidP="00047945">
      <w:pPr>
        <w:spacing w:before="100" w:beforeAutospacing="1" w:after="100" w:afterAutospacing="1"/>
        <w:jc w:val="both"/>
        <w:rPr>
          <w:rFonts w:ascii="Arial Narrow" w:hAnsi="Arial Narrow" w:cs="Arial"/>
          <w:color w:val="000000"/>
        </w:rPr>
      </w:pPr>
      <w:r w:rsidRPr="00047945">
        <w:rPr>
          <w:rFonts w:ascii="Arial Narrow" w:hAnsi="Arial Narrow" w:cs="Arial"/>
          <w:color w:val="000000"/>
        </w:rPr>
        <w:t>Conforme a los criterios sustentados por este Alto Tribunal, la falta, indebida o insuficiente fundamentación de la competencia de la autoridad que emite un acto administrativo, incide directamente en su validez, toda vez que esas deficiencias impiden que el juzgador pueda pronunciarse respecto a los efectos o consecuencias jurídicas que dicho acto pudiera tener sobre el particular, obligándolo a declarar la nulidad del acto o resolución en su integridad, por lo que la nulidad decretada en esos casos constituye un supuesto en el cual la violación formal cometida no resulta, por regla general, subsanable. Ahora bien, el párrafo segundo, inciso d), del artículo 51 citado, en relación con sus fracciones II y III, dispone que no afectan las defensas del particular ni trascienden al sentido de la resolución impugnada los vicios consistentes en irregularidades en los citatorios, en las notificaciones de requerimientos de solicitudes de datos, informes o documentos, o en los propios requerimientos, siempre y cuando el particular desahogue los mismos, exhibiendo oportunamente la información y documentación solicitados. Sin embargo, debe entenderse que estos supuestos son inaplicables tratándose de la omisión, indebida o insuficiente fundamentación de la competencia de las autoridades administrativas, pues ello constituye un vicio que no es análogo a los referidos supuestos legales, además de que tal disposición no puede interpretarse extensivamente porque atentaría contra el principio de legalidad previsto en el artículo 16 de la Constitución Política de los Estados Unidos Mexicanos. Esta interpretación se confirma con lo establecido en la fracción I del propio artículo 51 que establece como causa de ilegalidad de una resolución administrativa la incompetencia del funcionario que la haya dictado u ordenado, o tramitado el procedimiento del que deriva dicha resolución, interpretado armónicamente con el contenido del antepenúltimo párrafo del precepto legal en cuestión, que establece que el Tribunal podrá hacer valer de oficio, por ser de orden público, la incompetencia de la autoridad para dictar la resolución impugnada o para ordenar o tramitar el procedimiento del que derive y la ausencia total de fundamentación o motivación en dicha resolución. Así, al haberse establecido por separado dicha causa de ilegalidad, no puede analizarse a la luz de los supuestos de excepción previstos en el párrafo segundo, inciso d), del referido precepto legal, los cuales constituyen requisitos formales exigidos por las leyes, diversos a la fundamentación de la competencia.</w:t>
      </w:r>
    </w:p>
    <w:p w:rsidR="00047945" w:rsidRPr="00047945" w:rsidRDefault="00047945" w:rsidP="00047945">
      <w:pPr>
        <w:spacing w:before="100" w:beforeAutospacing="1" w:after="100" w:afterAutospacing="1"/>
        <w:jc w:val="both"/>
        <w:rPr>
          <w:rFonts w:ascii="Arial Narrow" w:hAnsi="Arial Narrow" w:cs="Arial"/>
          <w:color w:val="000000"/>
        </w:rPr>
      </w:pPr>
    </w:p>
    <w:p w:rsidR="00047945" w:rsidRPr="00047945" w:rsidRDefault="00047945" w:rsidP="00047945">
      <w:pPr>
        <w:spacing w:before="100" w:beforeAutospacing="1" w:after="100" w:afterAutospacing="1"/>
        <w:jc w:val="both"/>
        <w:rPr>
          <w:rFonts w:ascii="Arial Narrow" w:hAnsi="Arial Narrow" w:cs="Arial"/>
          <w:color w:val="000000"/>
        </w:rPr>
      </w:pPr>
      <w:r w:rsidRPr="00047945">
        <w:rPr>
          <w:rFonts w:ascii="Arial Narrow" w:hAnsi="Arial Narrow" w:cs="Arial"/>
          <w:color w:val="000000"/>
        </w:rPr>
        <w:lastRenderedPageBreak/>
        <w:t>Contradicción de tesis 262/2011.- Entre las sustentadas por el Primer Tribunal Colegiado en Materias Penal y Administrativa del Vigésimo Primer Circuito y el Segundo Tribunal Colegiado en Materia Administrativa del Cuarto Circuito.- 31 de agosto de 2011.- Mayoría de cuatro votos.- Disidente: Sergio A. Valls Hernández.- Ponente: Sergio Salvador Aguirre Anguiano.- Secretario: José Alfonso Herrera García.</w:t>
      </w:r>
    </w:p>
    <w:p w:rsidR="00047945" w:rsidRDefault="00047945" w:rsidP="00544EC4">
      <w:pPr>
        <w:jc w:val="both"/>
        <w:rPr>
          <w:rFonts w:ascii="Berlin Sans FB Demi" w:hAnsi="Berlin Sans FB Demi" w:cs="Arial"/>
          <w:b/>
          <w:color w:val="C00000"/>
          <w:sz w:val="36"/>
        </w:rPr>
      </w:pPr>
    </w:p>
    <w:p w:rsidR="00544EC4" w:rsidRPr="00693C27" w:rsidRDefault="00CA5323" w:rsidP="00544EC4">
      <w:pPr>
        <w:jc w:val="both"/>
        <w:rPr>
          <w:rFonts w:ascii="Berlin Sans FB Demi" w:hAnsi="Berlin Sans FB Demi" w:cs="Arial"/>
          <w:b/>
          <w:color w:val="C00000"/>
          <w:sz w:val="36"/>
        </w:rPr>
      </w:pPr>
      <w:r>
        <w:rPr>
          <w:rFonts w:ascii="Berlin Sans FB Demi" w:hAnsi="Berlin Sans FB Demi" w:cs="Arial"/>
          <w:b/>
          <w:color w:val="C00000"/>
          <w:sz w:val="36"/>
        </w:rPr>
        <w:t>5</w:t>
      </w:r>
      <w:r w:rsidR="00544EC4">
        <w:rPr>
          <w:rFonts w:ascii="Berlin Sans FB Demi" w:hAnsi="Berlin Sans FB Demi" w:cs="Arial"/>
          <w:b/>
          <w:color w:val="C00000"/>
          <w:sz w:val="36"/>
        </w:rPr>
        <w:t>.- Falta de presentación del aviso de compensación</w:t>
      </w:r>
    </w:p>
    <w:p w:rsidR="00544EC4" w:rsidRPr="00693C27" w:rsidRDefault="00544EC4" w:rsidP="00544EC4">
      <w:pPr>
        <w:jc w:val="both"/>
        <w:rPr>
          <w:rFonts w:ascii="Arial Narrow" w:hAnsi="Arial Narrow"/>
        </w:rPr>
      </w:pPr>
    </w:p>
    <w:p w:rsidR="00544EC4" w:rsidRPr="00693C27" w:rsidRDefault="00544EC4" w:rsidP="00544EC4">
      <w:pPr>
        <w:rPr>
          <w:rFonts w:ascii="Arial Narrow" w:hAnsi="Arial Narrow"/>
          <w:color w:val="000000"/>
          <w:lang w:eastAsia="es-ES"/>
        </w:rPr>
      </w:pPr>
      <w:r w:rsidRPr="00693C27">
        <w:rPr>
          <w:rFonts w:ascii="Arial Narrow" w:hAnsi="Arial Narrow"/>
          <w:b/>
          <w:bCs/>
          <w:color w:val="000000"/>
          <w:lang w:eastAsia="es-ES"/>
        </w:rPr>
        <w:t xml:space="preserve">Registro No. </w:t>
      </w:r>
      <w:r w:rsidRPr="00693C27">
        <w:rPr>
          <w:rFonts w:ascii="Arial Narrow" w:hAnsi="Arial Narrow"/>
          <w:color w:val="000000"/>
          <w:lang w:eastAsia="es-ES"/>
        </w:rPr>
        <w:t>163181</w:t>
      </w:r>
    </w:p>
    <w:p w:rsidR="00544EC4" w:rsidRPr="00693C27" w:rsidRDefault="00544EC4" w:rsidP="00544EC4">
      <w:pPr>
        <w:rPr>
          <w:rFonts w:ascii="Arial Narrow" w:hAnsi="Arial Narrow"/>
          <w:color w:val="000000"/>
          <w:lang w:eastAsia="es-ES"/>
        </w:rPr>
      </w:pPr>
      <w:r w:rsidRPr="00693C27">
        <w:rPr>
          <w:rFonts w:ascii="Arial Narrow" w:hAnsi="Arial Narrow"/>
          <w:b/>
          <w:bCs/>
          <w:color w:val="000000"/>
          <w:lang w:eastAsia="es-ES"/>
        </w:rPr>
        <w:t>Localización:</w:t>
      </w:r>
      <w:r w:rsidRPr="00693C27">
        <w:rPr>
          <w:rFonts w:ascii="Arial Narrow" w:hAnsi="Arial Narrow"/>
          <w:color w:val="000000"/>
          <w:lang w:eastAsia="es-ES"/>
        </w:rPr>
        <w:t xml:space="preserve"> </w:t>
      </w:r>
      <w:r w:rsidRPr="00693C27">
        <w:rPr>
          <w:rFonts w:ascii="Arial Narrow" w:hAnsi="Arial Narrow"/>
          <w:color w:val="000000"/>
          <w:lang w:eastAsia="es-ES"/>
        </w:rPr>
        <w:br/>
        <w:t>Novena Época</w:t>
      </w:r>
      <w:r w:rsidRPr="00693C27">
        <w:rPr>
          <w:rFonts w:ascii="Arial Narrow" w:hAnsi="Arial Narrow"/>
          <w:color w:val="000000"/>
          <w:lang w:eastAsia="es-ES"/>
        </w:rPr>
        <w:br/>
        <w:t>Instancia: Segunda Sala</w:t>
      </w:r>
      <w:r w:rsidRPr="00693C27">
        <w:rPr>
          <w:rFonts w:ascii="Arial Narrow" w:hAnsi="Arial Narrow"/>
          <w:color w:val="000000"/>
          <w:lang w:eastAsia="es-ES"/>
        </w:rPr>
        <w:br/>
        <w:t>Fuente: Semanario Judicial de la Federación y su Gaceta</w:t>
      </w:r>
      <w:r w:rsidRPr="00693C27">
        <w:rPr>
          <w:rFonts w:ascii="Arial Narrow" w:hAnsi="Arial Narrow"/>
          <w:color w:val="000000"/>
          <w:lang w:eastAsia="es-ES"/>
        </w:rPr>
        <w:br/>
        <w:t xml:space="preserve">XXXIII, </w:t>
      </w:r>
      <w:r w:rsidRPr="00693C27">
        <w:rPr>
          <w:rFonts w:ascii="Arial Narrow" w:hAnsi="Arial Narrow"/>
          <w:b/>
          <w:bCs/>
          <w:color w:val="000000"/>
          <w:lang w:eastAsia="es-ES"/>
        </w:rPr>
        <w:t>Enero de 2011</w:t>
      </w:r>
      <w:r w:rsidRPr="00693C27">
        <w:rPr>
          <w:rFonts w:ascii="Arial Narrow" w:hAnsi="Arial Narrow"/>
          <w:color w:val="000000"/>
          <w:lang w:eastAsia="es-ES"/>
        </w:rPr>
        <w:br/>
        <w:t>Página: 662</w:t>
      </w:r>
      <w:r w:rsidRPr="00693C27">
        <w:rPr>
          <w:rFonts w:ascii="Arial Narrow" w:hAnsi="Arial Narrow"/>
          <w:color w:val="000000"/>
          <w:lang w:eastAsia="es-ES"/>
        </w:rPr>
        <w:br/>
        <w:t>Tesis: 2a./J. 201/2010</w:t>
      </w:r>
      <w:r w:rsidRPr="00693C27">
        <w:rPr>
          <w:rFonts w:ascii="Arial Narrow" w:hAnsi="Arial Narrow"/>
          <w:color w:val="000000"/>
          <w:lang w:eastAsia="es-ES"/>
        </w:rPr>
        <w:br/>
        <w:t>Jurisprudencia</w:t>
      </w:r>
      <w:r w:rsidRPr="00693C27">
        <w:rPr>
          <w:rFonts w:ascii="Arial Narrow" w:hAnsi="Arial Narrow"/>
          <w:color w:val="000000"/>
          <w:lang w:eastAsia="es-ES"/>
        </w:rPr>
        <w:br/>
        <w:t>Materia(s): Administrativa</w:t>
      </w:r>
    </w:p>
    <w:p w:rsidR="00544EC4" w:rsidRPr="00693C27" w:rsidRDefault="00544EC4" w:rsidP="00544EC4">
      <w:pPr>
        <w:spacing w:before="100" w:beforeAutospacing="1" w:after="100" w:afterAutospacing="1"/>
        <w:jc w:val="both"/>
        <w:rPr>
          <w:rFonts w:ascii="Arial Narrow" w:hAnsi="Arial Narrow"/>
          <w:color w:val="000000"/>
        </w:rPr>
      </w:pPr>
      <w:r w:rsidRPr="00693C27">
        <w:rPr>
          <w:rFonts w:ascii="Arial Narrow" w:hAnsi="Arial Narrow"/>
          <w:b/>
          <w:bCs/>
          <w:color w:val="000000"/>
          <w:lang w:eastAsia="es-ES"/>
        </w:rPr>
        <w:t>DECLARACIÓN COMPLEMENTARIA. SU PRESENTACIÓN NO EXIME LA IMPOSICIÓN DE LA MULTA CORRESPONDIENTE DERIVADA DE UNA DECLARACIÓN ANTERIOR EN LA QUE SE EFECTUÓ UNA COMPENSACIÓN Y SE OMITIÓ DAR EL AVISO RESPECTIVO EN EL PLAZO ESTABLECIDO EN EL ARTÍCULO 23 DEL CÓDIGO FISCAL DE LA FEDERACIÓN.</w:t>
      </w:r>
      <w:r w:rsidRPr="00693C27">
        <w:rPr>
          <w:rFonts w:ascii="Arial Narrow" w:hAnsi="Arial Narrow"/>
          <w:color w:val="000000"/>
          <w:lang w:eastAsia="es-ES"/>
        </w:rPr>
        <w:t xml:space="preserve"> </w:t>
      </w:r>
    </w:p>
    <w:p w:rsidR="00544EC4" w:rsidRPr="00693C27" w:rsidRDefault="00544EC4" w:rsidP="00544EC4">
      <w:pPr>
        <w:spacing w:before="100" w:beforeAutospacing="1" w:after="100" w:afterAutospacing="1"/>
        <w:jc w:val="both"/>
        <w:rPr>
          <w:rFonts w:ascii="Arial Narrow" w:hAnsi="Arial Narrow"/>
          <w:color w:val="000000"/>
          <w:lang w:eastAsia="es-ES"/>
        </w:rPr>
      </w:pPr>
      <w:r w:rsidRPr="00693C27">
        <w:rPr>
          <w:rFonts w:ascii="Arial Narrow" w:hAnsi="Arial Narrow"/>
          <w:color w:val="000000"/>
          <w:lang w:eastAsia="es-ES"/>
        </w:rPr>
        <w:t>El artículo 32 del Código Fiscal de la Federación faculta al contribuyente, a través de las declaraciones complementarias, a modificar las declaraciones presentadas con anterioridad, en las cuales puede asentar nuevos datos o modificar la autoliquidación efectuada en las declaraciones precedentes. Ahora bien, la presentación de declaraciones complementarias no conlleva a dejar insubsistente la multa impuesta por la autoridad en caso de que el contribuyente en una declaración anterior hubiere efectuado una compensación y no hubiere presentado el aviso respectivo dentro de los cinco días siguientes acorde con el artículo 23 del mismo Código Fiscal, pues conforme a la teoría de los componentes de la norma, los efectos de los actos jurídicos se proyectan hacia el futuro, sin que puedan destruir los producidos con anterioridad por otro acto jurídico válido, por lo cual, conforme al análisis de la norma que regula el aviso de compensación, si se omite presentarlo se produce la sanción correspondiente; en ese sentido, las declaraciones complementarias no destruyen los efectos jurídicos definitivos producidos por la declaración primigenia. Por ello, la declaración complementaria puede subsanar omisiones o errores de la declaración anterior, sin que esto signifique dejar insubsistentes las consecuencias producidas con anterioridad. No es óbice a lo anterior la reforma al artículo 32 del código tributario mediante decreto publicado en el Diario Oficial de la Federación el 4 de junio de 2009, que estableció que las declaraciones complementarias sustituyen a la anterior, ya que en atención a la exposición de motivos relativa, la reforma únicamente tuvo por efecto simplificar las obligaciones tributarias y no modificar el esquema del aviso de compensación ni la imposición de la multa correspondiente.</w:t>
      </w:r>
    </w:p>
    <w:p w:rsidR="00544EC4" w:rsidRPr="00693C27" w:rsidRDefault="00544EC4" w:rsidP="00544EC4">
      <w:pPr>
        <w:spacing w:before="100" w:beforeAutospacing="1" w:after="100" w:afterAutospacing="1"/>
        <w:jc w:val="both"/>
        <w:rPr>
          <w:rFonts w:ascii="Arial Narrow" w:hAnsi="Arial Narrow"/>
          <w:color w:val="000000"/>
          <w:lang w:eastAsia="es-ES"/>
        </w:rPr>
      </w:pPr>
      <w:r w:rsidRPr="00693C27">
        <w:rPr>
          <w:rFonts w:ascii="Arial Narrow" w:hAnsi="Arial Narrow"/>
          <w:b/>
          <w:color w:val="000000"/>
          <w:u w:val="single"/>
          <w:lang w:eastAsia="es-ES"/>
        </w:rPr>
        <w:lastRenderedPageBreak/>
        <w:t>Contradicción de tesis 328/2010</w:t>
      </w:r>
      <w:r w:rsidRPr="00693C27">
        <w:rPr>
          <w:rFonts w:ascii="Arial Narrow" w:hAnsi="Arial Narrow"/>
          <w:color w:val="000000"/>
          <w:lang w:eastAsia="es-ES"/>
        </w:rPr>
        <w:t xml:space="preserve">. Entre las sustentadas por el Primer Tribunal Colegiado en Materias Penal y Administrativa del Décimo Séptimo Circuito y el entonces Tribunal Colegiado en Materia Administrativa del Sexto Circuito, actual Primero en la misma materia y circuito. 24 de noviembre de 2010. Cinco votos. Ponente: Sergio A. Valls Hernández. Secretaria: Paola </w:t>
      </w:r>
      <w:proofErr w:type="spellStart"/>
      <w:r w:rsidRPr="00693C27">
        <w:rPr>
          <w:rFonts w:ascii="Arial Narrow" w:hAnsi="Arial Narrow"/>
          <w:color w:val="000000"/>
          <w:lang w:eastAsia="es-ES"/>
        </w:rPr>
        <w:t>Yaber</w:t>
      </w:r>
      <w:proofErr w:type="spellEnd"/>
      <w:r w:rsidRPr="00693C27">
        <w:rPr>
          <w:rFonts w:ascii="Arial Narrow" w:hAnsi="Arial Narrow"/>
          <w:color w:val="000000"/>
          <w:lang w:eastAsia="es-ES"/>
        </w:rPr>
        <w:t xml:space="preserve"> Coronado.</w:t>
      </w:r>
    </w:p>
    <w:p w:rsidR="00544EC4" w:rsidRPr="00693C27" w:rsidRDefault="00544EC4" w:rsidP="00544EC4">
      <w:pPr>
        <w:spacing w:before="100" w:beforeAutospacing="1" w:after="100" w:afterAutospacing="1"/>
        <w:jc w:val="both"/>
        <w:rPr>
          <w:rFonts w:ascii="Arial Narrow" w:hAnsi="Arial Narrow"/>
          <w:color w:val="000000"/>
          <w:lang w:eastAsia="es-ES"/>
        </w:rPr>
      </w:pPr>
      <w:r w:rsidRPr="00693C27">
        <w:rPr>
          <w:rFonts w:ascii="Arial Narrow" w:hAnsi="Arial Narrow"/>
          <w:b/>
          <w:color w:val="000000"/>
          <w:u w:val="single"/>
          <w:lang w:eastAsia="es-ES"/>
        </w:rPr>
        <w:t>Tesis de jurisprudencia 201/2010</w:t>
      </w:r>
      <w:r w:rsidRPr="00693C27">
        <w:rPr>
          <w:rFonts w:ascii="Arial Narrow" w:hAnsi="Arial Narrow"/>
          <w:color w:val="000000"/>
          <w:lang w:eastAsia="es-ES"/>
        </w:rPr>
        <w:t>. Aprobada por la Segunda Sala de este Alto Tribunal, en sesión privada del uno de diciembre de dos mil diez</w:t>
      </w:r>
    </w:p>
    <w:p w:rsidR="00544EC4" w:rsidRDefault="00544EC4" w:rsidP="00544EC4">
      <w:pPr>
        <w:jc w:val="both"/>
        <w:rPr>
          <w:rFonts w:ascii="Arial Narrow" w:hAnsi="Arial Narrow"/>
        </w:rPr>
      </w:pPr>
    </w:p>
    <w:p w:rsidR="00544EC4" w:rsidRPr="00693C27" w:rsidRDefault="00CA5323" w:rsidP="00544EC4">
      <w:pPr>
        <w:jc w:val="both"/>
        <w:rPr>
          <w:rFonts w:ascii="Berlin Sans FB Demi" w:hAnsi="Berlin Sans FB Demi" w:cs="Arial"/>
          <w:b/>
          <w:color w:val="C00000"/>
          <w:sz w:val="36"/>
        </w:rPr>
      </w:pPr>
      <w:r>
        <w:rPr>
          <w:rFonts w:ascii="Berlin Sans FB Demi" w:hAnsi="Berlin Sans FB Demi" w:cs="Arial"/>
          <w:b/>
          <w:color w:val="C00000"/>
          <w:sz w:val="36"/>
        </w:rPr>
        <w:t>6</w:t>
      </w:r>
      <w:r w:rsidR="00544EC4">
        <w:rPr>
          <w:rFonts w:ascii="Berlin Sans FB Demi" w:hAnsi="Berlin Sans FB Demi" w:cs="Arial"/>
          <w:b/>
          <w:color w:val="C00000"/>
          <w:sz w:val="36"/>
        </w:rPr>
        <w:t>.- Fundamentación de la multa DIOT</w:t>
      </w:r>
    </w:p>
    <w:p w:rsidR="00544EC4" w:rsidRDefault="00544EC4" w:rsidP="00544EC4">
      <w:pPr>
        <w:jc w:val="both"/>
        <w:rPr>
          <w:rFonts w:ascii="Arial Narrow" w:hAnsi="Arial Narrow"/>
        </w:rPr>
      </w:pPr>
    </w:p>
    <w:p w:rsidR="00544EC4" w:rsidRPr="00693C27" w:rsidRDefault="00544EC4" w:rsidP="00544EC4">
      <w:pPr>
        <w:pStyle w:val="NormalWeb"/>
        <w:rPr>
          <w:rFonts w:ascii="Arial Narrow" w:hAnsi="Arial Narrow"/>
          <w:color w:val="000000"/>
          <w:sz w:val="24"/>
          <w:szCs w:val="24"/>
        </w:rPr>
      </w:pPr>
      <w:r w:rsidRPr="00693C27">
        <w:rPr>
          <w:rFonts w:ascii="Arial Narrow" w:hAnsi="Arial Narrow"/>
          <w:color w:val="000000"/>
          <w:sz w:val="24"/>
          <w:szCs w:val="24"/>
        </w:rPr>
        <w:t>JURISPRUDENCIA 2a./J. 170/2011</w:t>
      </w:r>
    </w:p>
    <w:p w:rsidR="00CA5323" w:rsidRDefault="00544EC4" w:rsidP="00544EC4">
      <w:pPr>
        <w:pStyle w:val="NormalWeb"/>
        <w:jc w:val="both"/>
        <w:rPr>
          <w:rFonts w:ascii="Arial Narrow" w:hAnsi="Arial Narrow"/>
          <w:color w:val="000000"/>
          <w:sz w:val="24"/>
          <w:szCs w:val="24"/>
        </w:rPr>
      </w:pPr>
      <w:r w:rsidRPr="00693C27">
        <w:rPr>
          <w:rStyle w:val="Textoennegrita"/>
          <w:rFonts w:ascii="Arial Narrow" w:hAnsi="Arial Narrow"/>
          <w:color w:val="000000"/>
          <w:sz w:val="24"/>
          <w:szCs w:val="24"/>
        </w:rPr>
        <w:t>VALOR AGREGADO. EL REQUERIMIENTO A LAS PERSONAS FÍSICAS OBLIGADAS AL PAGO DE DICHO TRIBUTO, DE PRESENTAR DECLARACIÓN INFORMATIVA DE OPERACIONES CON TERCEROS, CUMPLE CON EL REQUISITO DE DEBIDA FUNDAMENTACIÓN Y MOTIVACIÓN CUANDO EN ÉL SE INVOCA EL ARTÍCULO 32, FRACCIÓN VIII, DE LA LEY RELATIVA</w:t>
      </w:r>
      <w:r w:rsidRPr="00693C27">
        <w:rPr>
          <w:rFonts w:ascii="Arial Narrow" w:hAnsi="Arial Narrow"/>
          <w:color w:val="000000"/>
          <w:sz w:val="24"/>
          <w:szCs w:val="24"/>
        </w:rPr>
        <w:t xml:space="preserve">. </w:t>
      </w:r>
    </w:p>
    <w:p w:rsidR="00544EC4" w:rsidRPr="00693C27" w:rsidRDefault="00544EC4" w:rsidP="00544EC4">
      <w:pPr>
        <w:pStyle w:val="NormalWeb"/>
        <w:jc w:val="both"/>
        <w:rPr>
          <w:rFonts w:ascii="Arial Narrow" w:hAnsi="Arial Narrow"/>
          <w:color w:val="000000"/>
          <w:sz w:val="24"/>
          <w:szCs w:val="24"/>
        </w:rPr>
      </w:pPr>
      <w:r w:rsidRPr="00693C27">
        <w:rPr>
          <w:rFonts w:ascii="Arial Narrow" w:hAnsi="Arial Narrow"/>
          <w:color w:val="000000"/>
          <w:sz w:val="24"/>
          <w:szCs w:val="24"/>
        </w:rPr>
        <w:t>El requerimiento a las personas físicas sujetas al pago del impuesto al valor agregado, sobre el cumplimiento de la obligación prevista en el citado numeral, consistente en proporcionar mensualmente a las autoridades fiscales, a través de los medios y formatos electrónicos señalados por el Servicio de Administración Tributaria, la información correspondiente sobre el pago, retención, acreditamiento y traslado del impuesto al valor agregado en las operaciones con sus proveedores, cumple el requisito de debida fundamentación y motivación contenido en los artículos 16, párrafo primero, de la Constitución Política de los Estados Unidos Mexicanos y 38, fracción IV, del Código Fiscal de la Federación, cuando invoca el artículo 32, fracción VIII, de la Ley del Impuesto al Valor Agregado, sin que sea necesario que se citen, además, las reglas I.5.1.6 y II.5.1.7 de la Resolución Miscelánea Fiscal para 2008, publicada en el Diario Oficial de la Federación el 27 de mayo de 2008, ni las reglas I.5.1.6 y II.5.1.7 de la Resolución Miscelánea Fiscal para 2009, publicada en el referido medio de difusión el 29 de abril de 2009, que prevén que las declaraciones deben presentarse a través de la página de internet del Servicio de Administración Tributaria, mediante el formato electrónico A-29 denominado “Declaración Informativa de Operaciones con Terceros”.</w:t>
      </w:r>
    </w:p>
    <w:p w:rsidR="00544EC4" w:rsidRPr="00693C27" w:rsidRDefault="00544EC4" w:rsidP="00544EC4">
      <w:pPr>
        <w:pStyle w:val="NormalWeb"/>
        <w:jc w:val="both"/>
        <w:rPr>
          <w:rFonts w:ascii="Arial Narrow" w:hAnsi="Arial Narrow"/>
          <w:color w:val="000000"/>
          <w:sz w:val="24"/>
          <w:szCs w:val="24"/>
        </w:rPr>
      </w:pPr>
      <w:r w:rsidRPr="00693C27">
        <w:rPr>
          <w:rFonts w:ascii="Arial Narrow" w:hAnsi="Arial Narrow"/>
          <w:b/>
          <w:color w:val="000000"/>
          <w:sz w:val="24"/>
          <w:szCs w:val="24"/>
          <w:u w:val="single"/>
        </w:rPr>
        <w:t>Contradicción de tesis 327/2011</w:t>
      </w:r>
      <w:r w:rsidRPr="00693C27">
        <w:rPr>
          <w:rFonts w:ascii="Arial Narrow" w:hAnsi="Arial Narrow"/>
          <w:color w:val="000000"/>
          <w:sz w:val="24"/>
          <w:szCs w:val="24"/>
        </w:rPr>
        <w:t>.- Entre las sustentadas por el entonces Segundo Tribunal Colegiado Auxiliar, con residencia en Morelia, Michoacán (actual Sexto Tribunal Colegiado de Circuito del Centro Auxiliar de la Tercera Región, con residencia en dicha ciudad) y el Primer Tribunal Colegiado en Materias Administrativa y de Trabajo del Décimo Primer Circuito.- 7 de septiembre de 2011.- Cinco votos.- Ponente: Sergio A. Valls Hernández.- Secretario: José Álvaro Vargas Ornelas.</w:t>
      </w:r>
    </w:p>
    <w:p w:rsidR="00544EC4" w:rsidRPr="00693C27" w:rsidRDefault="00544EC4" w:rsidP="00544EC4">
      <w:pPr>
        <w:pStyle w:val="NormalWeb"/>
        <w:jc w:val="both"/>
        <w:rPr>
          <w:rFonts w:ascii="Arial Narrow" w:hAnsi="Arial Narrow"/>
          <w:color w:val="000000"/>
          <w:sz w:val="24"/>
          <w:szCs w:val="24"/>
        </w:rPr>
      </w:pPr>
      <w:r w:rsidRPr="00693C27">
        <w:rPr>
          <w:rFonts w:ascii="Arial Narrow" w:hAnsi="Arial Narrow"/>
          <w:b/>
          <w:color w:val="000000"/>
          <w:sz w:val="24"/>
          <w:szCs w:val="24"/>
          <w:u w:val="single"/>
        </w:rPr>
        <w:t>Tesis de jurisprudencia</w:t>
      </w:r>
      <w:r w:rsidRPr="00693C27">
        <w:rPr>
          <w:rFonts w:ascii="Arial Narrow" w:hAnsi="Arial Narrow"/>
          <w:color w:val="000000"/>
          <w:sz w:val="24"/>
          <w:szCs w:val="24"/>
        </w:rPr>
        <w:t xml:space="preserve"> aprobada por la Segunda Sala de este Alto Tribunal, en sesión privada del cinco de octubre del dos mil once.</w:t>
      </w:r>
    </w:p>
    <w:p w:rsidR="00544EC4" w:rsidRPr="00693C27" w:rsidRDefault="00CA5323" w:rsidP="00544EC4">
      <w:pPr>
        <w:jc w:val="both"/>
        <w:rPr>
          <w:rFonts w:ascii="Berlin Sans FB Demi" w:hAnsi="Berlin Sans FB Demi" w:cs="Arial"/>
          <w:b/>
          <w:color w:val="C00000"/>
          <w:sz w:val="36"/>
        </w:rPr>
      </w:pPr>
      <w:r>
        <w:rPr>
          <w:rFonts w:ascii="Berlin Sans FB Demi" w:hAnsi="Berlin Sans FB Demi" w:cs="Arial"/>
          <w:b/>
          <w:color w:val="C00000"/>
          <w:sz w:val="36"/>
        </w:rPr>
        <w:lastRenderedPageBreak/>
        <w:t>7</w:t>
      </w:r>
      <w:r w:rsidR="00544EC4">
        <w:rPr>
          <w:rFonts w:ascii="Berlin Sans FB Demi" w:hAnsi="Berlin Sans FB Demi" w:cs="Arial"/>
          <w:b/>
          <w:color w:val="C00000"/>
          <w:sz w:val="36"/>
        </w:rPr>
        <w:t>.- Estados de cuenta bancarios</w:t>
      </w:r>
    </w:p>
    <w:p w:rsidR="00544EC4" w:rsidRDefault="00544EC4" w:rsidP="00544EC4">
      <w:pPr>
        <w:jc w:val="both"/>
        <w:rPr>
          <w:rFonts w:ascii="Arial" w:eastAsia="Arial" w:hAnsi="Arial"/>
        </w:rPr>
      </w:pPr>
    </w:p>
    <w:p w:rsidR="00544EC4" w:rsidRPr="00401E2B" w:rsidRDefault="00544EC4" w:rsidP="00544EC4">
      <w:pPr>
        <w:autoSpaceDE w:val="0"/>
        <w:autoSpaceDN w:val="0"/>
        <w:adjustRightInd w:val="0"/>
        <w:rPr>
          <w:rFonts w:ascii="Arial Narrow" w:eastAsia="Arial" w:hAnsi="Arial Narrow" w:cs="Arial"/>
        </w:rPr>
      </w:pPr>
      <w:r w:rsidRPr="00401E2B">
        <w:rPr>
          <w:rFonts w:ascii="Arial Narrow" w:eastAsia="Arial" w:hAnsi="Arial Narrow" w:cs="Arial"/>
          <w:b/>
          <w:bCs/>
        </w:rPr>
        <w:t xml:space="preserve">Registro No. </w:t>
      </w:r>
      <w:r w:rsidRPr="00401E2B">
        <w:rPr>
          <w:rFonts w:ascii="Arial Narrow" w:eastAsia="Arial" w:hAnsi="Arial Narrow" w:cs="Arial"/>
        </w:rPr>
        <w:t>161416</w:t>
      </w:r>
    </w:p>
    <w:p w:rsidR="00544EC4" w:rsidRDefault="00544EC4" w:rsidP="00544EC4">
      <w:pPr>
        <w:autoSpaceDE w:val="0"/>
        <w:autoSpaceDN w:val="0"/>
        <w:adjustRightInd w:val="0"/>
        <w:rPr>
          <w:rFonts w:ascii="Arial Narrow" w:eastAsia="Arial" w:hAnsi="Arial Narrow" w:cs="Arial"/>
        </w:rPr>
      </w:pPr>
      <w:r w:rsidRPr="00401E2B">
        <w:rPr>
          <w:rFonts w:ascii="Arial Narrow" w:eastAsia="Arial" w:hAnsi="Arial Narrow" w:cs="Arial"/>
          <w:b/>
          <w:bCs/>
        </w:rPr>
        <w:t xml:space="preserve">Localización: </w:t>
      </w:r>
      <w:r w:rsidRPr="00401E2B">
        <w:rPr>
          <w:rFonts w:ascii="Arial Narrow" w:eastAsia="Arial" w:hAnsi="Arial Narrow" w:cs="Arial"/>
        </w:rPr>
        <w:t xml:space="preserve">Novena Época </w:t>
      </w:r>
    </w:p>
    <w:p w:rsidR="00544EC4" w:rsidRDefault="00544EC4" w:rsidP="00544EC4">
      <w:pPr>
        <w:autoSpaceDE w:val="0"/>
        <w:autoSpaceDN w:val="0"/>
        <w:adjustRightInd w:val="0"/>
        <w:rPr>
          <w:rFonts w:ascii="Arial Narrow" w:eastAsia="Arial" w:hAnsi="Arial Narrow" w:cs="Arial"/>
        </w:rPr>
      </w:pPr>
      <w:r w:rsidRPr="00401E2B">
        <w:rPr>
          <w:rFonts w:ascii="Arial Narrow" w:eastAsia="Arial" w:hAnsi="Arial Narrow" w:cs="Arial"/>
        </w:rPr>
        <w:t xml:space="preserve">Instancia: Segunda Sala </w:t>
      </w:r>
    </w:p>
    <w:p w:rsidR="00544EC4" w:rsidRDefault="00544EC4" w:rsidP="00544EC4">
      <w:pPr>
        <w:autoSpaceDE w:val="0"/>
        <w:autoSpaceDN w:val="0"/>
        <w:adjustRightInd w:val="0"/>
        <w:rPr>
          <w:rFonts w:ascii="Arial Narrow" w:eastAsia="Arial" w:hAnsi="Arial Narrow" w:cs="Arial"/>
        </w:rPr>
      </w:pPr>
      <w:r w:rsidRPr="00401E2B">
        <w:rPr>
          <w:rFonts w:ascii="Arial Narrow" w:eastAsia="Arial" w:hAnsi="Arial Narrow" w:cs="Arial"/>
        </w:rPr>
        <w:t xml:space="preserve">Fuente: Semanario Judicial de la Federación y su Gaceta XXXIV, </w:t>
      </w:r>
      <w:r w:rsidRPr="00401E2B">
        <w:rPr>
          <w:rFonts w:ascii="Arial Narrow" w:eastAsia="Arial" w:hAnsi="Arial Narrow" w:cs="Arial"/>
          <w:b/>
          <w:bCs/>
        </w:rPr>
        <w:t xml:space="preserve">Julio </w:t>
      </w:r>
      <w:r w:rsidRPr="00401E2B">
        <w:rPr>
          <w:rFonts w:ascii="Arial Narrow" w:eastAsia="Arial" w:hAnsi="Arial Narrow" w:cs="Arial"/>
        </w:rPr>
        <w:t xml:space="preserve">de 2011 </w:t>
      </w:r>
    </w:p>
    <w:p w:rsidR="00544EC4" w:rsidRDefault="00544EC4" w:rsidP="00544EC4">
      <w:pPr>
        <w:autoSpaceDE w:val="0"/>
        <w:autoSpaceDN w:val="0"/>
        <w:adjustRightInd w:val="0"/>
        <w:rPr>
          <w:rFonts w:ascii="Arial Narrow" w:eastAsia="Arial" w:hAnsi="Arial Narrow" w:cs="Arial"/>
        </w:rPr>
      </w:pPr>
      <w:r w:rsidRPr="00401E2B">
        <w:rPr>
          <w:rFonts w:ascii="Arial Narrow" w:eastAsia="Arial" w:hAnsi="Arial Narrow" w:cs="Arial"/>
        </w:rPr>
        <w:t xml:space="preserve">Página: 927 </w:t>
      </w:r>
    </w:p>
    <w:p w:rsidR="00544EC4" w:rsidRDefault="00544EC4" w:rsidP="00544EC4">
      <w:pPr>
        <w:autoSpaceDE w:val="0"/>
        <w:autoSpaceDN w:val="0"/>
        <w:adjustRightInd w:val="0"/>
        <w:rPr>
          <w:rFonts w:ascii="Arial Narrow" w:eastAsia="Arial" w:hAnsi="Arial Narrow" w:cs="Arial"/>
        </w:rPr>
      </w:pPr>
      <w:r w:rsidRPr="00401E2B">
        <w:rPr>
          <w:rFonts w:ascii="Arial Narrow" w:eastAsia="Arial" w:hAnsi="Arial Narrow" w:cs="Arial"/>
        </w:rPr>
        <w:t xml:space="preserve">Tesis: 2a./J. 98/2011 Jurisprudencia </w:t>
      </w:r>
    </w:p>
    <w:p w:rsidR="00544EC4" w:rsidRDefault="00544EC4" w:rsidP="00544EC4">
      <w:pPr>
        <w:autoSpaceDE w:val="0"/>
        <w:autoSpaceDN w:val="0"/>
        <w:adjustRightInd w:val="0"/>
        <w:rPr>
          <w:rFonts w:ascii="Arial Narrow" w:eastAsia="Arial" w:hAnsi="Arial Narrow" w:cs="Arial"/>
          <w:b/>
          <w:bCs/>
        </w:rPr>
      </w:pPr>
      <w:r w:rsidRPr="00401E2B">
        <w:rPr>
          <w:rFonts w:ascii="Arial Narrow" w:eastAsia="Arial" w:hAnsi="Arial Narrow" w:cs="Arial"/>
        </w:rPr>
        <w:t xml:space="preserve">Materia(s): </w:t>
      </w:r>
      <w:r w:rsidRPr="00401E2B">
        <w:rPr>
          <w:rFonts w:ascii="Arial Narrow" w:eastAsia="Arial" w:hAnsi="Arial Narrow" w:cs="Arial"/>
          <w:b/>
          <w:bCs/>
        </w:rPr>
        <w:t>Administrativa</w:t>
      </w:r>
    </w:p>
    <w:p w:rsidR="00544EC4" w:rsidRPr="00401E2B" w:rsidRDefault="00544EC4" w:rsidP="00544EC4">
      <w:pPr>
        <w:autoSpaceDE w:val="0"/>
        <w:autoSpaceDN w:val="0"/>
        <w:adjustRightInd w:val="0"/>
        <w:rPr>
          <w:rFonts w:ascii="Arial Narrow" w:eastAsia="Arial" w:hAnsi="Arial Narrow" w:cs="Arial"/>
          <w:b/>
          <w:bCs/>
        </w:rPr>
      </w:pPr>
    </w:p>
    <w:p w:rsidR="00544EC4" w:rsidRDefault="00544EC4" w:rsidP="00544EC4">
      <w:pPr>
        <w:autoSpaceDE w:val="0"/>
        <w:autoSpaceDN w:val="0"/>
        <w:adjustRightInd w:val="0"/>
        <w:jc w:val="both"/>
        <w:rPr>
          <w:rFonts w:ascii="Arial Narrow" w:eastAsia="Arial" w:hAnsi="Arial Narrow" w:cs="Arial"/>
          <w:b/>
          <w:bCs/>
        </w:rPr>
      </w:pPr>
      <w:r w:rsidRPr="00401E2B">
        <w:rPr>
          <w:rFonts w:ascii="Arial Narrow" w:eastAsia="Arial" w:hAnsi="Arial Narrow" w:cs="Arial"/>
          <w:b/>
          <w:bCs/>
        </w:rPr>
        <w:t>VISITA DOMICILIARIA. EL ARTÍCULO 45 DEL CÓDIGO FISCAL DE LA FEDERACIÓN FACULTA A LAS AUTORIDADES FISCALIZADORAS PARA REQUERIR ESTADOS DE CUENTA BANCARIOS DURANTE SU PRÁCTICA A LOS CONTRIBUYENTES.</w:t>
      </w:r>
    </w:p>
    <w:p w:rsidR="00544EC4" w:rsidRPr="00401E2B" w:rsidRDefault="00544EC4" w:rsidP="00544EC4">
      <w:pPr>
        <w:autoSpaceDE w:val="0"/>
        <w:autoSpaceDN w:val="0"/>
        <w:adjustRightInd w:val="0"/>
        <w:jc w:val="both"/>
        <w:rPr>
          <w:rFonts w:ascii="Arial Narrow" w:eastAsia="Arial" w:hAnsi="Arial Narrow" w:cs="Arial"/>
          <w:b/>
          <w:bCs/>
        </w:rPr>
      </w:pPr>
    </w:p>
    <w:p w:rsidR="00544EC4" w:rsidRDefault="00544EC4" w:rsidP="00544EC4">
      <w:pPr>
        <w:autoSpaceDE w:val="0"/>
        <w:autoSpaceDN w:val="0"/>
        <w:adjustRightInd w:val="0"/>
        <w:jc w:val="both"/>
        <w:rPr>
          <w:rFonts w:ascii="Arial Narrow" w:eastAsia="Arial" w:hAnsi="Arial Narrow" w:cs="Arial"/>
        </w:rPr>
      </w:pPr>
      <w:r w:rsidRPr="00401E2B">
        <w:rPr>
          <w:rFonts w:ascii="Arial Narrow" w:eastAsia="Arial" w:hAnsi="Arial Narrow" w:cs="Arial"/>
        </w:rPr>
        <w:t>El artículo citado prevé, entre otras cosas, que durante la práctica de la visita domiciliaria las autoridades pueden requerir a los contribuyentes la contabilidad y</w:t>
      </w:r>
      <w:r>
        <w:rPr>
          <w:rFonts w:ascii="Arial Narrow" w:eastAsia="Arial" w:hAnsi="Arial Narrow" w:cs="Arial"/>
        </w:rPr>
        <w:t xml:space="preserve"> </w:t>
      </w:r>
      <w:r w:rsidRPr="00401E2B">
        <w:rPr>
          <w:rFonts w:ascii="Arial Narrow" w:eastAsia="Arial" w:hAnsi="Arial Narrow" w:cs="Arial"/>
        </w:rPr>
        <w:t>demás papeles que acrediten el cumplimiento de las disposiciones fiscales. Ahora bien, una interpretación sistemática de la locución "y demás papeles" permite concluir que dentro de ese concepto se encuentran los estados de cuenta bancarios, pues aunque no forman parte de la contabilidad (como lo declaró la Segunda Sala de la Suprema Corte de Justicia de la Nación en la jurisprudencia 2a./J. 85/2008, de rubro: "REVISIÓN DE ESCRITORIO O GABINETE. EL ARTÍCULO 48 DEL CÓDIGO FISCAL DE LA FEDERACIÓN ANTERIOR A LA REFORMA PUBLICADA EN EL DIARIO OFICIAL DE LA FEDERACIÓN DE 5 DE ENERO DE 2004, NO FACULTA A LAS AUTORIDADES FISCALES PARA REQUERIR DOCUMENTACIÓN O INFORMACIÓN RELATIVA A LAS CUENTAS BANCARIAS DEL CONTRIBUYENTE."), están vinculados con los elementos que le dan sustento, pues son documentos en los que se hacen constar ingresos, retiros, existencia de valores, comisiones bancarias cobradas, intereses ganados o impuestos retenidos, lo que evidentemente tiene relación con los papeles de trabajo y conciliaciones bancarias.</w:t>
      </w:r>
    </w:p>
    <w:p w:rsidR="00544EC4" w:rsidRPr="00401E2B" w:rsidRDefault="00544EC4" w:rsidP="00544EC4">
      <w:pPr>
        <w:autoSpaceDE w:val="0"/>
        <w:autoSpaceDN w:val="0"/>
        <w:adjustRightInd w:val="0"/>
        <w:jc w:val="both"/>
        <w:rPr>
          <w:rFonts w:ascii="Arial Narrow" w:eastAsia="Arial" w:hAnsi="Arial Narrow" w:cs="Arial"/>
        </w:rPr>
      </w:pPr>
    </w:p>
    <w:p w:rsidR="00544EC4" w:rsidRDefault="00544EC4" w:rsidP="00544EC4">
      <w:pPr>
        <w:jc w:val="both"/>
        <w:rPr>
          <w:rFonts w:ascii="Arial Narrow" w:eastAsia="Arial" w:hAnsi="Arial Narrow" w:cs="Arial"/>
        </w:rPr>
      </w:pPr>
      <w:r w:rsidRPr="00264502">
        <w:rPr>
          <w:rFonts w:ascii="Arial Narrow" w:eastAsia="Arial" w:hAnsi="Arial Narrow" w:cs="Arial"/>
          <w:b/>
          <w:u w:val="single"/>
        </w:rPr>
        <w:t>Contradicción de tesis 124/2011</w:t>
      </w:r>
      <w:r w:rsidRPr="00401E2B">
        <w:rPr>
          <w:rFonts w:ascii="Arial Narrow" w:eastAsia="Arial" w:hAnsi="Arial Narrow" w:cs="Arial"/>
        </w:rPr>
        <w:t xml:space="preserve">. Entre las sustentadas por el Tribunal Colegiado en Materias Penal y Administrativa y el Tribunal Colegiado en Materias Civil y Administrativa, ambos del Décimo Cuarto Circuito y el Primer Tribunal Colegiado en Materias Penal y Administrativa del Vigésimo Primer Circuito. 18 de mayo de 2011. Cinco votos. Ponente: Sergio Salvador Aguirre Anguiano. Secretaria: Diana Minerva Puente Zamora. </w:t>
      </w:r>
    </w:p>
    <w:p w:rsidR="00CA5323" w:rsidRDefault="00CA5323" w:rsidP="00544EC4">
      <w:pPr>
        <w:jc w:val="both"/>
        <w:rPr>
          <w:rFonts w:ascii="Arial Narrow" w:eastAsia="Arial" w:hAnsi="Arial Narrow" w:cs="Arial"/>
        </w:rPr>
      </w:pPr>
    </w:p>
    <w:p w:rsidR="00544EC4" w:rsidRPr="00401E2B" w:rsidRDefault="00544EC4" w:rsidP="00544EC4">
      <w:pPr>
        <w:jc w:val="both"/>
        <w:rPr>
          <w:rFonts w:ascii="Arial Narrow" w:eastAsia="Arial" w:hAnsi="Arial Narrow"/>
        </w:rPr>
      </w:pPr>
      <w:r w:rsidRPr="00264502">
        <w:rPr>
          <w:rFonts w:ascii="Arial Narrow" w:eastAsia="Arial" w:hAnsi="Arial Narrow" w:cs="Arial"/>
          <w:b/>
          <w:u w:val="single"/>
        </w:rPr>
        <w:t>Tesis de jurisprudencia 98/2001</w:t>
      </w:r>
      <w:r w:rsidRPr="00401E2B">
        <w:rPr>
          <w:rFonts w:ascii="Arial Narrow" w:eastAsia="Arial" w:hAnsi="Arial Narrow" w:cs="Arial"/>
        </w:rPr>
        <w:t>. Aprobada por la Segunda Sala de este Alto Tribunal, en sesión privada del veinticinco de mayo de dos mil once. Nota: La tesis 2a./J. 85/2008 citada, aparece publicada en el Semanario Judicial de la Federación y su Gaceta, Novena Época, Tomo XXVII, mayo de 2008, página 155.</w:t>
      </w:r>
    </w:p>
    <w:p w:rsidR="00544EC4" w:rsidRDefault="00544EC4" w:rsidP="00544EC4">
      <w:pPr>
        <w:jc w:val="both"/>
        <w:rPr>
          <w:rFonts w:ascii="Arial" w:eastAsia="Arial" w:hAnsi="Arial"/>
        </w:rPr>
      </w:pPr>
    </w:p>
    <w:p w:rsidR="00544EC4" w:rsidRPr="00693C27" w:rsidRDefault="00544EC4" w:rsidP="00544EC4">
      <w:pPr>
        <w:jc w:val="both"/>
        <w:rPr>
          <w:rFonts w:ascii="Arial" w:eastAsia="Arial" w:hAnsi="Arial"/>
        </w:rPr>
      </w:pPr>
    </w:p>
    <w:p w:rsidR="00544EC4" w:rsidRDefault="00544EC4" w:rsidP="00544EC4">
      <w:pPr>
        <w:jc w:val="both"/>
        <w:rPr>
          <w:rFonts w:ascii="Berlin Sans FB Demi" w:hAnsi="Berlin Sans FB Demi" w:cs="Arial"/>
          <w:b/>
          <w:color w:val="C00000"/>
          <w:sz w:val="36"/>
        </w:rPr>
      </w:pPr>
    </w:p>
    <w:p w:rsidR="00544EC4" w:rsidRDefault="00544EC4" w:rsidP="00544EC4">
      <w:pPr>
        <w:jc w:val="both"/>
        <w:rPr>
          <w:rFonts w:ascii="Berlin Sans FB Demi" w:hAnsi="Berlin Sans FB Demi" w:cs="Arial"/>
          <w:b/>
          <w:color w:val="C00000"/>
          <w:sz w:val="36"/>
        </w:rPr>
      </w:pPr>
    </w:p>
    <w:p w:rsidR="00544EC4" w:rsidRDefault="00544EC4" w:rsidP="00544EC4">
      <w:pPr>
        <w:jc w:val="both"/>
        <w:rPr>
          <w:rFonts w:ascii="Berlin Sans FB Demi" w:hAnsi="Berlin Sans FB Demi" w:cs="Arial"/>
          <w:b/>
          <w:color w:val="C00000"/>
          <w:sz w:val="36"/>
        </w:rPr>
      </w:pPr>
    </w:p>
    <w:p w:rsidR="00544EC4" w:rsidRDefault="00CA5323" w:rsidP="00544EC4">
      <w:pPr>
        <w:jc w:val="both"/>
        <w:rPr>
          <w:rFonts w:ascii="Berlin Sans FB Demi" w:hAnsi="Berlin Sans FB Demi" w:cs="Arial"/>
          <w:b/>
          <w:color w:val="C00000"/>
          <w:sz w:val="36"/>
        </w:rPr>
      </w:pPr>
      <w:r>
        <w:rPr>
          <w:rFonts w:ascii="Berlin Sans FB Demi" w:hAnsi="Berlin Sans FB Demi" w:cs="Arial"/>
          <w:b/>
          <w:color w:val="C00000"/>
          <w:sz w:val="36"/>
        </w:rPr>
        <w:lastRenderedPageBreak/>
        <w:t xml:space="preserve">8.- Visita Domiciliaria – Nulidad lisa y llana </w:t>
      </w:r>
    </w:p>
    <w:p w:rsidR="00CA5323" w:rsidRDefault="00CA5323" w:rsidP="00544EC4">
      <w:pPr>
        <w:jc w:val="both"/>
        <w:rPr>
          <w:rFonts w:ascii="Berlin Sans FB Demi" w:hAnsi="Berlin Sans FB Demi" w:cs="Arial"/>
          <w:b/>
          <w:color w:val="C00000"/>
          <w:sz w:val="36"/>
        </w:rPr>
      </w:pPr>
    </w:p>
    <w:p w:rsidR="00CA5323" w:rsidRPr="00CA5323" w:rsidRDefault="00CA5323" w:rsidP="00CA5323">
      <w:pPr>
        <w:spacing w:before="100" w:beforeAutospacing="1" w:after="100" w:afterAutospacing="1"/>
        <w:rPr>
          <w:rFonts w:ascii="Arial Narrow" w:hAnsi="Arial Narrow" w:cs="Arial"/>
          <w:b/>
          <w:color w:val="000000"/>
        </w:rPr>
      </w:pPr>
      <w:r w:rsidRPr="00CA5323">
        <w:rPr>
          <w:rFonts w:ascii="Arial Narrow" w:hAnsi="Arial Narrow" w:cs="Arial"/>
          <w:b/>
          <w:color w:val="000000"/>
        </w:rPr>
        <w:t>2a./J. 157/2011</w:t>
      </w:r>
    </w:p>
    <w:p w:rsidR="00CA5323" w:rsidRPr="00CA5323" w:rsidRDefault="00CA5323" w:rsidP="00CA5323">
      <w:pPr>
        <w:spacing w:before="100" w:beforeAutospacing="1" w:after="100" w:afterAutospacing="1"/>
        <w:jc w:val="both"/>
        <w:rPr>
          <w:rFonts w:ascii="Arial Narrow" w:hAnsi="Arial Narrow" w:cs="Arial"/>
          <w:b/>
          <w:color w:val="000000"/>
        </w:rPr>
      </w:pPr>
      <w:r w:rsidRPr="00CA5323">
        <w:rPr>
          <w:rFonts w:ascii="Arial Narrow" w:hAnsi="Arial Narrow" w:cs="Arial"/>
          <w:b/>
          <w:color w:val="000000"/>
        </w:rPr>
        <w:t xml:space="preserve">ORDEN DE VISITA DOMICILIARIA. LA DIRIGIDA A UN CONTRIBUYENTE EN RELACIÓN CON CONTRIBUCIONES, APROVECHAMIENTOS, PERIODOS Y HECHOS MATERIA DE UNA PRIMERA ORDEN, DECLARADA NULA POR INDEBIDA O INSUFICIENTE FUNDAMENTACIÓN Y MOTIVACIÓN RESPECTO A LA COMPETENCIA MATERIAL DE LA AUTORIDAD QUE LA EMITIÓ, CONTRAVIENE EL ÚLTIMO PÁRRAFO DEL ARTÍCULO 46 DEL CÓDIGO FISCAL DE LA FEDERACIÓN (LEGISLACIÓN VIGENTE A PARTIR DEL 1° DE ENERO DE 2008). </w:t>
      </w:r>
    </w:p>
    <w:p w:rsidR="00CA5323" w:rsidRPr="00CA5323" w:rsidRDefault="00CA5323" w:rsidP="00CA5323">
      <w:pPr>
        <w:spacing w:before="100" w:beforeAutospacing="1" w:after="100" w:afterAutospacing="1"/>
        <w:jc w:val="both"/>
        <w:rPr>
          <w:rFonts w:ascii="Arial Narrow" w:hAnsi="Arial Narrow" w:cs="Arial"/>
          <w:color w:val="000000"/>
        </w:rPr>
      </w:pPr>
      <w:r w:rsidRPr="00CA5323">
        <w:rPr>
          <w:rFonts w:ascii="Arial Narrow" w:hAnsi="Arial Narrow" w:cs="Arial"/>
          <w:color w:val="000000"/>
        </w:rPr>
        <w:t>Conforme al citado numeral, en el caso de que las facultades de comprobación se refieran a las mismas contribuciones, aprovechamientos y periodos materia de una revisión anterior, sólo podrá efectuarse una nueva revisión cuando se comprueben hechos diferentes a los ya revisados. Ahora bien, dado que la génesis del mencionado artículo consiste en hacer respetar las garantías de seguridad jurídica e inviolabilidad del domicilio y obligar a la autoridad hacendaria a no ordenar ni practicar una visita a un contribuyente por las mismas contribuciones, aprovechamientos y periodos revisados, sin que condicione la emisión de una nueva orden a lo que se haya resuelto en relación con una anterior, referida a esos mismos supuestos, es decir, a que se haya declarado su nulidad, sino sólo a que se compruebe la existencia de hechos diferentes y a que éstos se acrediten en la nueva orden, resulta que la declaración de nulidad lisa y llana de la primera orden por insuficiencia o indebida fundamentación de la competencia material de la autoridad que la emitió, no justifica la emisión de una nueva en las condiciones apuntadas, pues esto es contrario al citado numeral. Lo anterior es así, porque si bien la declaración en esos términos no prejuzga sobre si la autoridad es o no competente, e implica la desaparición de los efectos formales de la propia orden y actos subsecuentes, no hace desaparecer la afectación material que implica la práctica de la visita, que es lo que el legislador trata de impedir a través del indicado precepto; máxime que la prohibición no va dirigida a la específica autoridad que emitió la orden anterior, sino en general al Servicio de Administración Tributaria quien tiene la facultad de fiscalización y puede ejercerla por sí o a través de cualquiera de las autoridades que dependen él.</w:t>
      </w:r>
    </w:p>
    <w:p w:rsidR="00CA5323" w:rsidRPr="00CA5323" w:rsidRDefault="00CA5323" w:rsidP="00CA5323">
      <w:pPr>
        <w:spacing w:before="100" w:beforeAutospacing="1" w:after="100" w:afterAutospacing="1"/>
        <w:jc w:val="both"/>
        <w:rPr>
          <w:rFonts w:ascii="Arial Narrow" w:hAnsi="Arial Narrow" w:cs="Arial"/>
          <w:color w:val="000000"/>
        </w:rPr>
      </w:pPr>
      <w:r w:rsidRPr="00CA5323">
        <w:rPr>
          <w:rFonts w:ascii="Arial Narrow" w:hAnsi="Arial Narrow" w:cs="Arial"/>
          <w:color w:val="000000"/>
        </w:rPr>
        <w:t>Contradicción de tesis 231/2011.- Entre las sustentadas por los Tribunales Colegiados Tercero del Vigésimo Tercer Circuito, actual Segundo del Trigésimo Circuito, y Primero y Tercero, ambos en Materias Penal y Administrativa del Quinto Circuito.- 10 de agosto de 2011.- Mayoría de tres votos.- Disidentes: José Fernando Franco González Salas y Luis María Aguilar Morales.- Ponente: Sergio A. Valls Hernández.- Secretario: José Álvaro Vargas Ornelas.</w:t>
      </w:r>
    </w:p>
    <w:p w:rsidR="00CA5323" w:rsidRPr="004B421F" w:rsidRDefault="00CA5323" w:rsidP="00CA5323">
      <w:pPr>
        <w:jc w:val="both"/>
        <w:rPr>
          <w:rFonts w:ascii="Arial" w:hAnsi="Arial" w:cs="Arial"/>
          <w:color w:val="000000"/>
        </w:rPr>
      </w:pPr>
    </w:p>
    <w:p w:rsidR="00CA5323" w:rsidRDefault="00CA5323" w:rsidP="00CA5323"/>
    <w:p w:rsidR="00CA5323" w:rsidRDefault="00CA5323" w:rsidP="00544EC4">
      <w:pPr>
        <w:jc w:val="both"/>
        <w:rPr>
          <w:rFonts w:ascii="Berlin Sans FB Demi" w:hAnsi="Berlin Sans FB Demi" w:cs="Arial"/>
          <w:b/>
          <w:color w:val="C00000"/>
          <w:sz w:val="36"/>
        </w:rPr>
      </w:pPr>
    </w:p>
    <w:p w:rsidR="00CA5323" w:rsidRDefault="00CA5323" w:rsidP="00544EC4">
      <w:pPr>
        <w:jc w:val="both"/>
        <w:rPr>
          <w:rFonts w:ascii="Berlin Sans FB Demi" w:hAnsi="Berlin Sans FB Demi" w:cs="Arial"/>
          <w:b/>
          <w:color w:val="C00000"/>
          <w:sz w:val="36"/>
        </w:rPr>
      </w:pPr>
    </w:p>
    <w:p w:rsidR="00544EC4" w:rsidRPr="00693C27" w:rsidRDefault="00CA5323" w:rsidP="00544EC4">
      <w:pPr>
        <w:jc w:val="both"/>
        <w:rPr>
          <w:rFonts w:ascii="Berlin Sans FB Demi" w:hAnsi="Berlin Sans FB Demi" w:cs="Arial"/>
          <w:b/>
          <w:color w:val="C00000"/>
          <w:sz w:val="36"/>
        </w:rPr>
      </w:pPr>
      <w:r>
        <w:rPr>
          <w:rFonts w:ascii="Berlin Sans FB Demi" w:hAnsi="Berlin Sans FB Demi" w:cs="Arial"/>
          <w:b/>
          <w:color w:val="C00000"/>
          <w:sz w:val="36"/>
        </w:rPr>
        <w:lastRenderedPageBreak/>
        <w:t>9</w:t>
      </w:r>
      <w:r w:rsidR="00544EC4">
        <w:rPr>
          <w:rFonts w:ascii="Berlin Sans FB Demi" w:hAnsi="Berlin Sans FB Demi" w:cs="Arial"/>
          <w:b/>
          <w:color w:val="C00000"/>
          <w:sz w:val="36"/>
        </w:rPr>
        <w:t>.- Recurso de revocación – oficialía de partes</w:t>
      </w:r>
    </w:p>
    <w:p w:rsidR="00544EC4" w:rsidRDefault="00544EC4" w:rsidP="00544EC4">
      <w:pPr>
        <w:rPr>
          <w:rFonts w:ascii="Arial Narrow" w:hAnsi="Arial Narrow" w:cs="Tahoma"/>
          <w:b/>
          <w:bCs/>
          <w:lang w:eastAsia="es-ES"/>
        </w:rPr>
      </w:pPr>
    </w:p>
    <w:p w:rsidR="00544EC4" w:rsidRPr="00264502" w:rsidRDefault="00544EC4" w:rsidP="00544EC4">
      <w:pPr>
        <w:rPr>
          <w:rFonts w:ascii="Arial Narrow" w:hAnsi="Arial Narrow" w:cs="Tahoma"/>
          <w:lang w:eastAsia="es-ES"/>
        </w:rPr>
      </w:pPr>
      <w:r w:rsidRPr="00264502">
        <w:rPr>
          <w:rFonts w:ascii="Arial Narrow" w:hAnsi="Arial Narrow" w:cs="Tahoma"/>
          <w:b/>
          <w:bCs/>
          <w:lang w:eastAsia="es-ES"/>
        </w:rPr>
        <w:t xml:space="preserve">Registro No. </w:t>
      </w:r>
      <w:r w:rsidRPr="00264502">
        <w:rPr>
          <w:rFonts w:ascii="Arial Narrow" w:hAnsi="Arial Narrow" w:cs="Tahoma"/>
          <w:lang w:eastAsia="es-ES"/>
        </w:rPr>
        <w:t>162532</w:t>
      </w:r>
    </w:p>
    <w:p w:rsidR="00544EC4" w:rsidRPr="00264502" w:rsidRDefault="00544EC4" w:rsidP="00544EC4">
      <w:pPr>
        <w:rPr>
          <w:rFonts w:ascii="Arial Narrow" w:hAnsi="Arial Narrow" w:cs="Tahoma"/>
          <w:lang w:eastAsia="es-ES"/>
        </w:rPr>
      </w:pPr>
      <w:r w:rsidRPr="00264502">
        <w:rPr>
          <w:rFonts w:ascii="Arial Narrow" w:hAnsi="Arial Narrow" w:cs="Tahoma"/>
          <w:b/>
          <w:bCs/>
          <w:lang w:eastAsia="es-ES"/>
        </w:rPr>
        <w:t>Localización:</w:t>
      </w:r>
      <w:r w:rsidRPr="00264502">
        <w:rPr>
          <w:rFonts w:ascii="Arial Narrow" w:hAnsi="Arial Narrow" w:cs="Tahoma"/>
          <w:lang w:eastAsia="es-ES"/>
        </w:rPr>
        <w:t xml:space="preserve"> </w:t>
      </w:r>
      <w:r w:rsidRPr="00264502">
        <w:rPr>
          <w:rFonts w:ascii="Arial Narrow" w:hAnsi="Arial Narrow" w:cs="Tahoma"/>
          <w:lang w:eastAsia="es-ES"/>
        </w:rPr>
        <w:br/>
        <w:t>Novena Época</w:t>
      </w:r>
      <w:r w:rsidRPr="00264502">
        <w:rPr>
          <w:rFonts w:ascii="Arial Narrow" w:hAnsi="Arial Narrow" w:cs="Tahoma"/>
          <w:lang w:eastAsia="es-ES"/>
        </w:rPr>
        <w:br/>
        <w:t>Instancia: Segunda Sala</w:t>
      </w:r>
      <w:r w:rsidRPr="00264502">
        <w:rPr>
          <w:rFonts w:ascii="Arial Narrow" w:hAnsi="Arial Narrow" w:cs="Tahoma"/>
          <w:lang w:eastAsia="es-ES"/>
        </w:rPr>
        <w:br/>
        <w:t>Fuente: Semanario Judicial de la Federación y su Gaceta</w:t>
      </w:r>
      <w:r w:rsidRPr="00264502">
        <w:rPr>
          <w:rFonts w:ascii="Arial Narrow" w:hAnsi="Arial Narrow" w:cs="Tahoma"/>
          <w:lang w:eastAsia="es-ES"/>
        </w:rPr>
        <w:br/>
        <w:t xml:space="preserve">XXXIII, </w:t>
      </w:r>
      <w:r w:rsidRPr="00264502">
        <w:rPr>
          <w:rFonts w:ascii="Arial Narrow" w:hAnsi="Arial Narrow" w:cs="Tahoma"/>
          <w:b/>
          <w:bCs/>
          <w:lang w:eastAsia="es-ES"/>
        </w:rPr>
        <w:t>Marzo de 2011</w:t>
      </w:r>
      <w:r w:rsidRPr="00264502">
        <w:rPr>
          <w:rFonts w:ascii="Arial Narrow" w:hAnsi="Arial Narrow" w:cs="Tahoma"/>
          <w:lang w:eastAsia="es-ES"/>
        </w:rPr>
        <w:br/>
        <w:t>Página: 759</w:t>
      </w:r>
      <w:r w:rsidRPr="00264502">
        <w:rPr>
          <w:rFonts w:ascii="Arial Narrow" w:hAnsi="Arial Narrow" w:cs="Tahoma"/>
          <w:lang w:eastAsia="es-ES"/>
        </w:rPr>
        <w:br/>
        <w:t>Tesis: 2a./J. 5/2011</w:t>
      </w:r>
      <w:r w:rsidRPr="00264502">
        <w:rPr>
          <w:rFonts w:ascii="Arial Narrow" w:hAnsi="Arial Narrow" w:cs="Tahoma"/>
          <w:lang w:eastAsia="es-ES"/>
        </w:rPr>
        <w:br/>
        <w:t>Jurisprudencia</w:t>
      </w:r>
      <w:r w:rsidRPr="00264502">
        <w:rPr>
          <w:rFonts w:ascii="Arial Narrow" w:hAnsi="Arial Narrow" w:cs="Tahoma"/>
          <w:lang w:eastAsia="es-ES"/>
        </w:rPr>
        <w:br/>
        <w:t>Materia(s): Administrativa</w:t>
      </w:r>
    </w:p>
    <w:p w:rsidR="00544EC4" w:rsidRPr="00264502" w:rsidRDefault="00544EC4" w:rsidP="00544EC4">
      <w:pPr>
        <w:spacing w:before="100" w:beforeAutospacing="1" w:after="100" w:afterAutospacing="1"/>
        <w:jc w:val="both"/>
        <w:rPr>
          <w:rFonts w:ascii="Arial Narrow" w:hAnsi="Arial Narrow"/>
        </w:rPr>
      </w:pPr>
      <w:r w:rsidRPr="00264502">
        <w:rPr>
          <w:rFonts w:ascii="Arial Narrow" w:hAnsi="Arial Narrow" w:cs="Tahoma"/>
          <w:b/>
          <w:bCs/>
          <w:lang w:eastAsia="es-ES"/>
        </w:rPr>
        <w:t>OFICIALÍAS DE PARTES DE LAS AUTORIDADES FISCALES. PARA CUMPLIR CON LA GARANTÍA DE LEGALIDAD PREVISTA EN EL ARTÍCULO 16 DE LA CONSTITUCIÓN POLÍTICA DE LOS ESTADOS UNIDOS MEXICANOS, CUANDO SUS ENCARGADOS RECIBEN DOCUMENTOS EN DESAHOGO DE UN REQUERIMIENTO, DEBEN INVENTARIAR LOS ANEXOS.</w:t>
      </w:r>
      <w:r w:rsidRPr="00264502">
        <w:rPr>
          <w:rFonts w:ascii="Arial Narrow" w:hAnsi="Arial Narrow"/>
          <w:lang w:eastAsia="es-ES"/>
        </w:rPr>
        <w:t xml:space="preserve"> </w:t>
      </w:r>
    </w:p>
    <w:p w:rsidR="00544EC4" w:rsidRPr="00264502" w:rsidRDefault="00544EC4" w:rsidP="00544EC4">
      <w:pPr>
        <w:spacing w:before="100" w:beforeAutospacing="1" w:after="100" w:afterAutospacing="1"/>
        <w:jc w:val="both"/>
        <w:rPr>
          <w:rFonts w:ascii="Arial Narrow" w:hAnsi="Arial Narrow"/>
          <w:lang w:eastAsia="es-ES"/>
        </w:rPr>
      </w:pPr>
      <w:r w:rsidRPr="00264502">
        <w:rPr>
          <w:rFonts w:ascii="Arial Narrow" w:hAnsi="Arial Narrow" w:cs="Tahoma"/>
          <w:lang w:eastAsia="es-ES"/>
        </w:rPr>
        <w:t>Conforme al Código Fiscal de la Federación, el trámite y resolución del recurso de revocación corresponden a la autoridad competente, quien puede realizar los actos que ello implica por sí o a través de diversas autoridades y personal subalterno, las que se encuentran obligadas a cumplir con la garantía de legalidad contenida en el artículo 16 de la Constitución Política de los Estados Unidos Mexicanos. Ahora bien, dentro del personal subalterno se encuentran los encargados de las oficialías de partes, quienes al estar constreñidos a satisfacer dicha garantía constitucional, cuando reciben un documento en desahogo de un requerimiento no deben realizar un mero acto material, similar al de una oficina de mensajería, sino uno de carácter formal. Así, dichos encargados no sólo deben asentar la fecha y hora de recepción del documento de que se trate y señalar el número de anexos, sino que están obligados a verificar que el escrito esté dirigido a la autoridad a la que están adscritos, que se trate de un documento original con firma autógrafa del promovente, así como el número de copias y, en su caso, las documentales acompañadas, y sin calificar su contenido, inventariarlas para no dejar duda sobre lo recibido, otorgando así certeza a los gobernados. De esta manera, en el acuse de recibo correspondiente tendrán que precisar tales datos, para verificar lo que efectivamente se agregará al expediente respectivo.</w:t>
      </w:r>
    </w:p>
    <w:p w:rsidR="00544EC4" w:rsidRDefault="00544EC4" w:rsidP="00544EC4">
      <w:pPr>
        <w:spacing w:before="100" w:beforeAutospacing="1" w:after="100" w:afterAutospacing="1"/>
        <w:jc w:val="both"/>
        <w:rPr>
          <w:rFonts w:ascii="Arial Narrow" w:hAnsi="Arial Narrow" w:cs="Tahoma"/>
          <w:lang w:eastAsia="es-ES"/>
        </w:rPr>
      </w:pPr>
      <w:r w:rsidRPr="00264502">
        <w:rPr>
          <w:rFonts w:ascii="Arial Narrow" w:hAnsi="Arial Narrow" w:cs="Tahoma"/>
          <w:b/>
          <w:u w:val="single"/>
          <w:lang w:eastAsia="es-ES"/>
        </w:rPr>
        <w:t>Contradicción de tesis 395/2010</w:t>
      </w:r>
      <w:r w:rsidRPr="00264502">
        <w:rPr>
          <w:rFonts w:ascii="Arial Narrow" w:hAnsi="Arial Narrow" w:cs="Tahoma"/>
          <w:lang w:eastAsia="es-ES"/>
        </w:rPr>
        <w:t>. Entre las sustentadas por los Tribunales Colegiados Segundo y Cuarto, ambos en Materia Administrativa del Tercer Circuito. 8 de diciembre de 2010. Cinco votos. Ponente: Sergio A. Valls Hernández. Secretario: José Álvaro Vargas Ornelas.</w:t>
      </w:r>
    </w:p>
    <w:p w:rsidR="00544EC4" w:rsidRPr="00264502" w:rsidRDefault="00544EC4" w:rsidP="00544EC4">
      <w:pPr>
        <w:spacing w:before="100" w:beforeAutospacing="1" w:after="100" w:afterAutospacing="1"/>
        <w:jc w:val="both"/>
        <w:rPr>
          <w:rFonts w:ascii="Arial Narrow" w:hAnsi="Arial Narrow"/>
          <w:lang w:eastAsia="es-ES"/>
        </w:rPr>
      </w:pPr>
      <w:r w:rsidRPr="00264502">
        <w:rPr>
          <w:rFonts w:ascii="Arial Narrow" w:hAnsi="Arial Narrow" w:cs="Tahoma"/>
          <w:b/>
          <w:u w:val="single"/>
          <w:lang w:eastAsia="es-ES"/>
        </w:rPr>
        <w:t>Tesis de jurisprudencia 5/2011</w:t>
      </w:r>
      <w:r w:rsidRPr="00264502">
        <w:rPr>
          <w:rFonts w:ascii="Arial Narrow" w:hAnsi="Arial Narrow" w:cs="Tahoma"/>
          <w:lang w:eastAsia="es-ES"/>
        </w:rPr>
        <w:t>. Aprobada por la Segunda Sala de este Alto Tribunal, en sesión privada del doce de enero de dos mil once</w:t>
      </w:r>
    </w:p>
    <w:p w:rsidR="00544EC4" w:rsidRDefault="00544EC4" w:rsidP="00544EC4">
      <w:pPr>
        <w:jc w:val="both"/>
        <w:rPr>
          <w:rFonts w:ascii="Berlin Sans FB Demi" w:hAnsi="Berlin Sans FB Demi" w:cs="Arial"/>
          <w:b/>
          <w:color w:val="C00000"/>
          <w:sz w:val="36"/>
        </w:rPr>
      </w:pPr>
    </w:p>
    <w:p w:rsidR="00544EC4" w:rsidRPr="00693C27" w:rsidRDefault="00CA5323" w:rsidP="00544EC4">
      <w:pPr>
        <w:jc w:val="both"/>
        <w:rPr>
          <w:rFonts w:ascii="Berlin Sans FB Demi" w:hAnsi="Berlin Sans FB Demi" w:cs="Arial"/>
          <w:b/>
          <w:color w:val="C00000"/>
          <w:sz w:val="36"/>
        </w:rPr>
      </w:pPr>
      <w:r>
        <w:rPr>
          <w:rFonts w:ascii="Berlin Sans FB Demi" w:hAnsi="Berlin Sans FB Demi" w:cs="Arial"/>
          <w:b/>
          <w:color w:val="C00000"/>
          <w:sz w:val="36"/>
        </w:rPr>
        <w:lastRenderedPageBreak/>
        <w:t>10</w:t>
      </w:r>
      <w:r w:rsidR="00544EC4">
        <w:rPr>
          <w:rFonts w:ascii="Berlin Sans FB Demi" w:hAnsi="Berlin Sans FB Demi" w:cs="Arial"/>
          <w:b/>
          <w:color w:val="C00000"/>
          <w:sz w:val="36"/>
        </w:rPr>
        <w:t>.- Competencia juridica del Administrador de Aduanas</w:t>
      </w:r>
    </w:p>
    <w:p w:rsidR="00544EC4" w:rsidRPr="00693C27" w:rsidRDefault="00544EC4" w:rsidP="00544EC4">
      <w:pPr>
        <w:jc w:val="both"/>
        <w:rPr>
          <w:rFonts w:ascii="Arial Narrow" w:hAnsi="Arial Narrow"/>
        </w:rPr>
      </w:pPr>
    </w:p>
    <w:p w:rsidR="00544EC4" w:rsidRPr="00693C27" w:rsidRDefault="00544EC4" w:rsidP="00544EC4">
      <w:pPr>
        <w:rPr>
          <w:rFonts w:ascii="Arial Narrow" w:eastAsia="Arial" w:hAnsi="Arial Narrow" w:cs="Arial"/>
          <w:b/>
          <w:color w:val="000000"/>
        </w:rPr>
      </w:pPr>
      <w:r w:rsidRPr="00693C27">
        <w:rPr>
          <w:rFonts w:ascii="Arial Narrow" w:hAnsi="Arial Narrow" w:cs="Tahoma"/>
          <w:color w:val="333333"/>
        </w:rPr>
        <w:t xml:space="preserve"> </w:t>
      </w:r>
      <w:r w:rsidRPr="00693C27">
        <w:rPr>
          <w:rFonts w:ascii="Arial Narrow" w:eastAsia="Arial" w:hAnsi="Arial Narrow" w:cs="Arial"/>
          <w:b/>
          <w:color w:val="000000"/>
        </w:rPr>
        <w:t>2a./J. 153/2010</w:t>
      </w:r>
    </w:p>
    <w:p w:rsidR="00544EC4" w:rsidRDefault="00544EC4" w:rsidP="00544EC4">
      <w:pPr>
        <w:jc w:val="both"/>
        <w:rPr>
          <w:rFonts w:ascii="Arial Narrow" w:eastAsia="Arial" w:hAnsi="Arial Narrow" w:cs="Arial"/>
          <w:b/>
          <w:color w:val="000000"/>
        </w:rPr>
      </w:pPr>
    </w:p>
    <w:p w:rsidR="00544EC4" w:rsidRDefault="00544EC4" w:rsidP="00544EC4">
      <w:pPr>
        <w:jc w:val="both"/>
        <w:rPr>
          <w:rFonts w:ascii="Arial Narrow" w:eastAsia="Arial" w:hAnsi="Arial Narrow" w:cs="Arial"/>
          <w:color w:val="000000"/>
        </w:rPr>
      </w:pPr>
      <w:r w:rsidRPr="00693C27">
        <w:rPr>
          <w:rFonts w:ascii="Arial Narrow" w:eastAsia="Arial" w:hAnsi="Arial Narrow" w:cs="Arial"/>
          <w:b/>
          <w:color w:val="000000"/>
        </w:rPr>
        <w:t xml:space="preserve">COMPETENCIA DE LAS AUTORIDADES ADSCRITAS A LAS ADMINISTRACIONES DE LAS ADUANAS. </w:t>
      </w:r>
      <w:r w:rsidRPr="00693C27">
        <w:rPr>
          <w:rFonts w:ascii="Arial Narrow" w:eastAsia="Arial" w:hAnsi="Arial Narrow" w:cs="Arial"/>
          <w:color w:val="000000"/>
        </w:rPr>
        <w:t>El artículo 13 del Reglamento Interior del Servicio de Administración Tributaria que prevé la competencia de las citadas autoridades no constituye una norma compleja, por lo que su cita genérica en el acto administrativo, así como la de alguna fracción del artículo 11 del mismo ordenamiento al que remite, es suficiente para fundar aquélla.</w:t>
      </w:r>
    </w:p>
    <w:p w:rsidR="00544EC4" w:rsidRPr="00693C27" w:rsidRDefault="00544EC4" w:rsidP="00544EC4">
      <w:pPr>
        <w:jc w:val="both"/>
        <w:rPr>
          <w:rFonts w:ascii="Arial Narrow" w:eastAsia="Arial" w:hAnsi="Arial Narrow" w:cs="Arial"/>
          <w:color w:val="000000"/>
        </w:rPr>
      </w:pPr>
    </w:p>
    <w:p w:rsidR="00544EC4" w:rsidRPr="00693C27" w:rsidRDefault="00544EC4" w:rsidP="00544EC4">
      <w:pPr>
        <w:jc w:val="both"/>
        <w:rPr>
          <w:rFonts w:ascii="Arial Narrow" w:eastAsia="Arial" w:hAnsi="Arial Narrow" w:cs="Arial"/>
          <w:color w:val="000000"/>
        </w:rPr>
      </w:pPr>
      <w:r w:rsidRPr="00693C27">
        <w:rPr>
          <w:rFonts w:ascii="Arial Narrow" w:eastAsia="Arial" w:hAnsi="Arial Narrow" w:cs="Arial"/>
          <w:b/>
          <w:color w:val="000000"/>
          <w:u w:val="single"/>
        </w:rPr>
        <w:t>Contradicción de tesis 313/2010</w:t>
      </w:r>
      <w:r w:rsidRPr="00693C27">
        <w:rPr>
          <w:rFonts w:ascii="Arial Narrow" w:eastAsia="Arial" w:hAnsi="Arial Narrow" w:cs="Arial"/>
          <w:color w:val="000000"/>
        </w:rPr>
        <w:t>.- Entre las sustentadas por los Tribunales Colegiados Primero y Segundo, ambos en Materias Penal y Administrativa del Décimo Séptimo Circuito.- 6 de octubre de 2010.- Cinco votos.- Ponente: Sergio A. Valls Hernández.- Secretario: José Álvaro Vargas Ornelas.</w:t>
      </w:r>
    </w:p>
    <w:p w:rsidR="00544EC4" w:rsidRDefault="00544EC4" w:rsidP="00544EC4">
      <w:pPr>
        <w:jc w:val="both"/>
        <w:rPr>
          <w:rFonts w:ascii="Berlin Sans FB Demi" w:hAnsi="Berlin Sans FB Demi" w:cs="Arial"/>
          <w:b/>
          <w:color w:val="C00000"/>
          <w:sz w:val="36"/>
        </w:rPr>
      </w:pPr>
      <w:r w:rsidRPr="00D0745F">
        <w:rPr>
          <w:rFonts w:ascii="Arial Narrow" w:hAnsi="Arial Narrow" w:cs="Tahoma"/>
          <w:color w:val="333333"/>
        </w:rPr>
        <w:br/>
      </w:r>
    </w:p>
    <w:p w:rsidR="00544EC4" w:rsidRPr="00693C27" w:rsidRDefault="00CA5323" w:rsidP="00544EC4">
      <w:pPr>
        <w:jc w:val="both"/>
        <w:rPr>
          <w:rFonts w:ascii="Berlin Sans FB Demi" w:hAnsi="Berlin Sans FB Demi" w:cs="Arial"/>
          <w:b/>
          <w:color w:val="C00000"/>
          <w:sz w:val="36"/>
        </w:rPr>
      </w:pPr>
      <w:r>
        <w:rPr>
          <w:rFonts w:ascii="Berlin Sans FB Demi" w:hAnsi="Berlin Sans FB Demi" w:cs="Arial"/>
          <w:b/>
          <w:color w:val="C00000"/>
          <w:sz w:val="36"/>
        </w:rPr>
        <w:t>11</w:t>
      </w:r>
      <w:r w:rsidR="00544EC4">
        <w:rPr>
          <w:rFonts w:ascii="Berlin Sans FB Demi" w:hAnsi="Berlin Sans FB Demi" w:cs="Arial"/>
          <w:b/>
          <w:color w:val="C00000"/>
          <w:sz w:val="36"/>
        </w:rPr>
        <w:t>.-IVA devolución en REPECOS</w:t>
      </w:r>
    </w:p>
    <w:p w:rsidR="00544EC4" w:rsidRDefault="00544EC4" w:rsidP="00544EC4">
      <w:pPr>
        <w:rPr>
          <w:rFonts w:ascii="Arial Narrow" w:hAnsi="Arial Narrow" w:cs="Arial"/>
          <w:b/>
          <w:color w:val="000000"/>
        </w:rPr>
      </w:pPr>
    </w:p>
    <w:p w:rsidR="00544EC4" w:rsidRPr="00693C27" w:rsidRDefault="00544EC4" w:rsidP="00544EC4">
      <w:pPr>
        <w:rPr>
          <w:rFonts w:ascii="Arial Narrow" w:hAnsi="Arial Narrow" w:cs="Arial"/>
          <w:b/>
          <w:color w:val="000000"/>
        </w:rPr>
      </w:pPr>
      <w:r w:rsidRPr="00693C27">
        <w:rPr>
          <w:rFonts w:ascii="Arial Narrow" w:hAnsi="Arial Narrow" w:cs="Arial"/>
          <w:b/>
          <w:color w:val="000000"/>
        </w:rPr>
        <w:t>2a./J. 202/2010</w:t>
      </w:r>
    </w:p>
    <w:p w:rsidR="00544EC4" w:rsidRPr="00693C27" w:rsidRDefault="00544EC4" w:rsidP="00544EC4">
      <w:pPr>
        <w:jc w:val="center"/>
        <w:rPr>
          <w:rFonts w:ascii="Arial Narrow" w:hAnsi="Arial Narrow" w:cs="Arial"/>
          <w:b/>
          <w:color w:val="000000"/>
        </w:rPr>
      </w:pPr>
    </w:p>
    <w:p w:rsidR="00544EC4" w:rsidRPr="00693C27" w:rsidRDefault="00544EC4" w:rsidP="00544EC4">
      <w:pPr>
        <w:jc w:val="both"/>
        <w:rPr>
          <w:rFonts w:ascii="Arial Narrow" w:hAnsi="Arial Narrow" w:cs="Arial"/>
          <w:color w:val="000000"/>
        </w:rPr>
      </w:pPr>
      <w:r w:rsidRPr="00693C27">
        <w:rPr>
          <w:rFonts w:ascii="Arial Narrow" w:hAnsi="Arial Narrow" w:cs="Arial"/>
          <w:b/>
          <w:color w:val="000000"/>
        </w:rPr>
        <w:t xml:space="preserve">RESOLUCIÓN MISCELÁNEA FISCAL PARA 2000. LA REGLA 5.2.2. EXCEDE LO DISPUESTO TANTO POR EL CÓDIGO FISCAL DE LA FEDERACIÓN COMO POR LA LEY DEL IMPUESTO AL VALOR AGREGADO POR LO QUE CONTRAVIENE EL PRINCIPIO DE PRIMACÍA DE LEY. </w:t>
      </w:r>
      <w:r w:rsidRPr="00693C27">
        <w:rPr>
          <w:rFonts w:ascii="Arial Narrow" w:hAnsi="Arial Narrow" w:cs="Arial"/>
          <w:color w:val="000000"/>
        </w:rPr>
        <w:t>La resolución miscelánea, al contener disposiciones de carácter general tendentes a detallar la regulación establecida en las leyes y en los reglamentos fiscales, está sujeta al principio de primacía de ley, consistente en que aquélla debe estar precedida por un ordenamiento legal que le dé justificación y medida. En congruencia con lo anterior, la regla 5.2.2. de la Resolución Miscelánea Fiscal para 2000, al establecer que en ningún caso procede la devolución del saldo a favor por concepto de impuesto al valor agregado que tengan los pequeños contribuyentes, contraviene el citado principio, toda vez que excede lo dispuesto en los artículos 6o. de la Ley del Impuesto al Valor Agregado y 22 del Código Fiscal de la Federación, vigente en esa época, que no limitan ni restringen el derecho de los contribuyentes a obtener la devolución del saldo a favor resultante de sus declaraciones.</w:t>
      </w:r>
    </w:p>
    <w:p w:rsidR="00544EC4" w:rsidRDefault="00544EC4" w:rsidP="00544EC4">
      <w:pPr>
        <w:jc w:val="both"/>
        <w:rPr>
          <w:rFonts w:ascii="Arial Narrow" w:hAnsi="Arial Narrow" w:cs="Arial"/>
          <w:color w:val="000000"/>
        </w:rPr>
      </w:pPr>
    </w:p>
    <w:p w:rsidR="00544EC4" w:rsidRPr="00693C27" w:rsidRDefault="00544EC4" w:rsidP="00544EC4">
      <w:pPr>
        <w:jc w:val="both"/>
        <w:rPr>
          <w:rFonts w:ascii="Arial Narrow" w:hAnsi="Arial Narrow" w:cs="Arial"/>
          <w:color w:val="000000"/>
        </w:rPr>
      </w:pPr>
      <w:r w:rsidRPr="003620C1">
        <w:rPr>
          <w:rFonts w:ascii="Arial Narrow" w:hAnsi="Arial Narrow" w:cs="Arial"/>
          <w:b/>
          <w:color w:val="000000"/>
          <w:u w:val="single"/>
        </w:rPr>
        <w:t>Contradicción de tesis 295/2010</w:t>
      </w:r>
      <w:r w:rsidRPr="00693C27">
        <w:rPr>
          <w:rFonts w:ascii="Arial Narrow" w:hAnsi="Arial Narrow" w:cs="Arial"/>
          <w:color w:val="000000"/>
        </w:rPr>
        <w:t xml:space="preserve">.- Entre las sustentadas por los Tribunales Colegiados Primero en Materias Administrativa y de Trabajo del Décimo Sexto Circuito y Tercero del Octavo Circuito.- 24 de noviembre de 2010.- Cinco votos.- Ponente: Luis María Aguilar Morales.- Secretario: Francisco Gorka </w:t>
      </w:r>
      <w:proofErr w:type="spellStart"/>
      <w:r w:rsidRPr="00693C27">
        <w:rPr>
          <w:rFonts w:ascii="Arial Narrow" w:hAnsi="Arial Narrow" w:cs="Arial"/>
          <w:color w:val="000000"/>
        </w:rPr>
        <w:t>Migoni</w:t>
      </w:r>
      <w:proofErr w:type="spellEnd"/>
      <w:r w:rsidRPr="00693C27">
        <w:rPr>
          <w:rFonts w:ascii="Arial Narrow" w:hAnsi="Arial Narrow" w:cs="Arial"/>
          <w:color w:val="000000"/>
        </w:rPr>
        <w:t xml:space="preserve"> </w:t>
      </w:r>
      <w:proofErr w:type="spellStart"/>
      <w:r w:rsidRPr="00693C27">
        <w:rPr>
          <w:rFonts w:ascii="Arial Narrow" w:hAnsi="Arial Narrow" w:cs="Arial"/>
          <w:color w:val="000000"/>
        </w:rPr>
        <w:t>Goslinga</w:t>
      </w:r>
      <w:proofErr w:type="spellEnd"/>
      <w:r w:rsidRPr="00693C27">
        <w:rPr>
          <w:rFonts w:ascii="Arial Narrow" w:hAnsi="Arial Narrow" w:cs="Arial"/>
          <w:color w:val="000000"/>
        </w:rPr>
        <w:t>.</w:t>
      </w:r>
    </w:p>
    <w:p w:rsidR="00544EC4" w:rsidRPr="00693C27" w:rsidRDefault="00544EC4" w:rsidP="00544EC4">
      <w:pPr>
        <w:rPr>
          <w:rFonts w:ascii="Arial Narrow" w:hAnsi="Arial Narrow"/>
        </w:rPr>
      </w:pPr>
    </w:p>
    <w:p w:rsidR="00544EC4" w:rsidRDefault="00544EC4" w:rsidP="00544EC4">
      <w:pPr>
        <w:jc w:val="both"/>
        <w:rPr>
          <w:rFonts w:ascii="Berlin Sans FB Demi" w:hAnsi="Berlin Sans FB Demi" w:cs="Arial"/>
          <w:b/>
          <w:color w:val="C00000"/>
          <w:sz w:val="36"/>
        </w:rPr>
      </w:pPr>
    </w:p>
    <w:p w:rsidR="00544EC4" w:rsidRDefault="00544EC4" w:rsidP="00544EC4">
      <w:pPr>
        <w:jc w:val="both"/>
        <w:rPr>
          <w:rFonts w:ascii="Berlin Sans FB Demi" w:hAnsi="Berlin Sans FB Demi" w:cs="Arial"/>
          <w:b/>
          <w:color w:val="C00000"/>
          <w:sz w:val="36"/>
        </w:rPr>
      </w:pPr>
    </w:p>
    <w:p w:rsidR="00544EC4" w:rsidRDefault="00544EC4" w:rsidP="00544EC4">
      <w:pPr>
        <w:jc w:val="both"/>
        <w:rPr>
          <w:rFonts w:ascii="Berlin Sans FB Demi" w:hAnsi="Berlin Sans FB Demi" w:cs="Arial"/>
          <w:b/>
          <w:color w:val="C00000"/>
          <w:sz w:val="36"/>
        </w:rPr>
      </w:pPr>
    </w:p>
    <w:p w:rsidR="00544EC4" w:rsidRDefault="00544EC4" w:rsidP="00544EC4">
      <w:pPr>
        <w:jc w:val="both"/>
        <w:rPr>
          <w:rFonts w:ascii="Berlin Sans FB Demi" w:hAnsi="Berlin Sans FB Demi" w:cs="Arial"/>
          <w:b/>
          <w:color w:val="C00000"/>
          <w:sz w:val="36"/>
        </w:rPr>
      </w:pPr>
    </w:p>
    <w:p w:rsidR="00544EC4" w:rsidRPr="00693C27" w:rsidRDefault="00CA5323" w:rsidP="00544EC4">
      <w:pPr>
        <w:jc w:val="both"/>
        <w:rPr>
          <w:rFonts w:ascii="Berlin Sans FB Demi" w:hAnsi="Berlin Sans FB Demi" w:cs="Arial"/>
          <w:b/>
          <w:color w:val="C00000"/>
          <w:sz w:val="36"/>
        </w:rPr>
      </w:pPr>
      <w:r>
        <w:rPr>
          <w:rFonts w:ascii="Berlin Sans FB Demi" w:hAnsi="Berlin Sans FB Demi" w:cs="Arial"/>
          <w:b/>
          <w:color w:val="C00000"/>
          <w:sz w:val="36"/>
        </w:rPr>
        <w:lastRenderedPageBreak/>
        <w:t>12</w:t>
      </w:r>
      <w:r w:rsidR="00544EC4">
        <w:rPr>
          <w:rFonts w:ascii="Berlin Sans FB Demi" w:hAnsi="Berlin Sans FB Demi" w:cs="Arial"/>
          <w:b/>
          <w:color w:val="C00000"/>
          <w:sz w:val="36"/>
        </w:rPr>
        <w:t>.- ISR devolución de asalariados declaración anual</w:t>
      </w:r>
    </w:p>
    <w:p w:rsidR="00544EC4" w:rsidRDefault="00544EC4" w:rsidP="00544EC4">
      <w:pPr>
        <w:autoSpaceDE w:val="0"/>
        <w:autoSpaceDN w:val="0"/>
        <w:adjustRightInd w:val="0"/>
        <w:jc w:val="both"/>
        <w:rPr>
          <w:rFonts w:ascii="Arial Narrow" w:hAnsi="Arial Narrow" w:cs="Arial"/>
          <w:b/>
          <w:bCs/>
        </w:rPr>
      </w:pPr>
    </w:p>
    <w:p w:rsidR="00544EC4" w:rsidRDefault="00544EC4" w:rsidP="00544EC4">
      <w:pPr>
        <w:autoSpaceDE w:val="0"/>
        <w:autoSpaceDN w:val="0"/>
        <w:adjustRightInd w:val="0"/>
        <w:jc w:val="both"/>
        <w:rPr>
          <w:rFonts w:ascii="Arial Narrow" w:hAnsi="Arial Narrow" w:cs="Arial"/>
          <w:b/>
          <w:bCs/>
        </w:rPr>
      </w:pPr>
    </w:p>
    <w:p w:rsidR="00544EC4" w:rsidRPr="00693C27" w:rsidRDefault="00544EC4" w:rsidP="00544EC4">
      <w:pPr>
        <w:autoSpaceDE w:val="0"/>
        <w:autoSpaceDN w:val="0"/>
        <w:adjustRightInd w:val="0"/>
        <w:jc w:val="both"/>
        <w:rPr>
          <w:rFonts w:ascii="Arial Narrow" w:hAnsi="Arial Narrow" w:cs="Arial"/>
        </w:rPr>
      </w:pPr>
      <w:r w:rsidRPr="00693C27">
        <w:rPr>
          <w:rFonts w:ascii="Arial Narrow" w:hAnsi="Arial Narrow" w:cs="Arial"/>
          <w:b/>
          <w:bCs/>
        </w:rPr>
        <w:t xml:space="preserve">Registro No. </w:t>
      </w:r>
      <w:r w:rsidRPr="00693C27">
        <w:rPr>
          <w:rFonts w:ascii="Arial Narrow" w:hAnsi="Arial Narrow" w:cs="Arial"/>
        </w:rPr>
        <w:t>161641</w:t>
      </w:r>
    </w:p>
    <w:p w:rsidR="00544EC4" w:rsidRPr="00693C27" w:rsidRDefault="00544EC4" w:rsidP="00544EC4">
      <w:pPr>
        <w:autoSpaceDE w:val="0"/>
        <w:autoSpaceDN w:val="0"/>
        <w:adjustRightInd w:val="0"/>
        <w:jc w:val="both"/>
        <w:rPr>
          <w:rFonts w:ascii="Arial Narrow" w:hAnsi="Arial Narrow" w:cs="Arial"/>
        </w:rPr>
      </w:pPr>
      <w:r w:rsidRPr="00693C27">
        <w:rPr>
          <w:rFonts w:ascii="Arial Narrow" w:hAnsi="Arial Narrow" w:cs="Arial"/>
          <w:b/>
          <w:bCs/>
        </w:rPr>
        <w:t xml:space="preserve">Localización: </w:t>
      </w:r>
      <w:r w:rsidRPr="00693C27">
        <w:rPr>
          <w:rFonts w:ascii="Arial Narrow" w:hAnsi="Arial Narrow" w:cs="Arial"/>
        </w:rPr>
        <w:t xml:space="preserve">Novena Época </w:t>
      </w:r>
    </w:p>
    <w:p w:rsidR="00544EC4" w:rsidRPr="00693C27" w:rsidRDefault="00544EC4" w:rsidP="00544EC4">
      <w:pPr>
        <w:autoSpaceDE w:val="0"/>
        <w:autoSpaceDN w:val="0"/>
        <w:adjustRightInd w:val="0"/>
        <w:jc w:val="both"/>
        <w:rPr>
          <w:rFonts w:ascii="Arial Narrow" w:hAnsi="Arial Narrow" w:cs="Arial"/>
        </w:rPr>
      </w:pPr>
      <w:r w:rsidRPr="00693C27">
        <w:rPr>
          <w:rFonts w:ascii="Arial Narrow" w:hAnsi="Arial Narrow" w:cs="Arial"/>
        </w:rPr>
        <w:t xml:space="preserve">Instancia: Segunda Sala </w:t>
      </w:r>
    </w:p>
    <w:p w:rsidR="00544EC4" w:rsidRPr="00693C27" w:rsidRDefault="00544EC4" w:rsidP="00544EC4">
      <w:pPr>
        <w:autoSpaceDE w:val="0"/>
        <w:autoSpaceDN w:val="0"/>
        <w:adjustRightInd w:val="0"/>
        <w:jc w:val="both"/>
        <w:rPr>
          <w:rFonts w:ascii="Arial Narrow" w:hAnsi="Arial Narrow" w:cs="Arial"/>
        </w:rPr>
      </w:pPr>
      <w:r w:rsidRPr="00693C27">
        <w:rPr>
          <w:rFonts w:ascii="Arial Narrow" w:hAnsi="Arial Narrow" w:cs="Arial"/>
        </w:rPr>
        <w:t xml:space="preserve">Fuente: Semanario Judicial de la Federación y su Gaceta XXXIV, </w:t>
      </w:r>
      <w:r w:rsidRPr="00693C27">
        <w:rPr>
          <w:rFonts w:ascii="Arial Narrow" w:hAnsi="Arial Narrow" w:cs="Arial"/>
          <w:b/>
          <w:bCs/>
        </w:rPr>
        <w:t xml:space="preserve">Julio </w:t>
      </w:r>
      <w:r w:rsidRPr="00693C27">
        <w:rPr>
          <w:rFonts w:ascii="Arial Narrow" w:hAnsi="Arial Narrow" w:cs="Arial"/>
        </w:rPr>
        <w:t xml:space="preserve">de 2011 </w:t>
      </w:r>
    </w:p>
    <w:p w:rsidR="00544EC4" w:rsidRPr="00693C27" w:rsidRDefault="00544EC4" w:rsidP="00544EC4">
      <w:pPr>
        <w:autoSpaceDE w:val="0"/>
        <w:autoSpaceDN w:val="0"/>
        <w:adjustRightInd w:val="0"/>
        <w:jc w:val="both"/>
        <w:rPr>
          <w:rFonts w:ascii="Arial Narrow" w:hAnsi="Arial Narrow" w:cs="Arial"/>
        </w:rPr>
      </w:pPr>
      <w:r w:rsidRPr="00693C27">
        <w:rPr>
          <w:rFonts w:ascii="Arial Narrow" w:hAnsi="Arial Narrow" w:cs="Arial"/>
        </w:rPr>
        <w:t xml:space="preserve">Página: 501 </w:t>
      </w:r>
    </w:p>
    <w:p w:rsidR="00544EC4" w:rsidRPr="00693C27" w:rsidRDefault="00544EC4" w:rsidP="00544EC4">
      <w:pPr>
        <w:autoSpaceDE w:val="0"/>
        <w:autoSpaceDN w:val="0"/>
        <w:adjustRightInd w:val="0"/>
        <w:jc w:val="both"/>
        <w:rPr>
          <w:rFonts w:ascii="Arial Narrow" w:hAnsi="Arial Narrow" w:cs="Arial"/>
        </w:rPr>
      </w:pPr>
      <w:r w:rsidRPr="00693C27">
        <w:rPr>
          <w:rFonts w:ascii="Arial Narrow" w:hAnsi="Arial Narrow" w:cs="Arial"/>
        </w:rPr>
        <w:t>Tesis: 2a./J. 110/2011</w:t>
      </w:r>
    </w:p>
    <w:p w:rsidR="00544EC4" w:rsidRPr="00693C27" w:rsidRDefault="00544EC4" w:rsidP="00544EC4">
      <w:pPr>
        <w:autoSpaceDE w:val="0"/>
        <w:autoSpaceDN w:val="0"/>
        <w:adjustRightInd w:val="0"/>
        <w:jc w:val="both"/>
        <w:rPr>
          <w:rFonts w:ascii="Arial Narrow" w:hAnsi="Arial Narrow" w:cs="Arial"/>
        </w:rPr>
      </w:pPr>
      <w:r w:rsidRPr="00693C27">
        <w:rPr>
          <w:rFonts w:ascii="Arial Narrow" w:hAnsi="Arial Narrow" w:cs="Arial"/>
        </w:rPr>
        <w:t xml:space="preserve">Jurisprudencia </w:t>
      </w:r>
    </w:p>
    <w:p w:rsidR="00544EC4" w:rsidRPr="00693C27" w:rsidRDefault="00544EC4" w:rsidP="00544EC4">
      <w:pPr>
        <w:autoSpaceDE w:val="0"/>
        <w:autoSpaceDN w:val="0"/>
        <w:adjustRightInd w:val="0"/>
        <w:jc w:val="both"/>
        <w:rPr>
          <w:rFonts w:ascii="Arial Narrow" w:hAnsi="Arial Narrow" w:cs="Arial"/>
          <w:b/>
          <w:bCs/>
        </w:rPr>
      </w:pPr>
      <w:r w:rsidRPr="00693C27">
        <w:rPr>
          <w:rFonts w:ascii="Arial Narrow" w:hAnsi="Arial Narrow" w:cs="Arial"/>
        </w:rPr>
        <w:t xml:space="preserve">Materia(s): </w:t>
      </w:r>
      <w:r w:rsidRPr="00693C27">
        <w:rPr>
          <w:rFonts w:ascii="Arial Narrow" w:hAnsi="Arial Narrow" w:cs="Arial"/>
          <w:b/>
          <w:bCs/>
        </w:rPr>
        <w:t>Administrativa</w:t>
      </w:r>
    </w:p>
    <w:p w:rsidR="00544EC4" w:rsidRPr="00693C27" w:rsidRDefault="00544EC4" w:rsidP="00544EC4">
      <w:pPr>
        <w:autoSpaceDE w:val="0"/>
        <w:autoSpaceDN w:val="0"/>
        <w:adjustRightInd w:val="0"/>
        <w:jc w:val="both"/>
        <w:rPr>
          <w:rFonts w:ascii="Arial Narrow" w:hAnsi="Arial Narrow" w:cs="Arial"/>
          <w:b/>
          <w:bCs/>
        </w:rPr>
      </w:pPr>
    </w:p>
    <w:p w:rsidR="00544EC4" w:rsidRPr="00693C27" w:rsidRDefault="00544EC4" w:rsidP="00544EC4">
      <w:pPr>
        <w:autoSpaceDE w:val="0"/>
        <w:autoSpaceDN w:val="0"/>
        <w:adjustRightInd w:val="0"/>
        <w:jc w:val="both"/>
        <w:rPr>
          <w:rFonts w:ascii="Arial Narrow" w:hAnsi="Arial Narrow" w:cs="Arial"/>
          <w:b/>
          <w:bCs/>
        </w:rPr>
      </w:pPr>
      <w:r w:rsidRPr="00693C27">
        <w:rPr>
          <w:rFonts w:ascii="Arial Narrow" w:hAnsi="Arial Narrow" w:cs="Arial"/>
          <w:b/>
          <w:bCs/>
        </w:rPr>
        <w:t>DEVOLUCIÓN DE SALDO A FAVOR POR CONCEPTO DE IMPUESTO SOBRE LA RENTA.</w:t>
      </w:r>
    </w:p>
    <w:p w:rsidR="00544EC4" w:rsidRPr="00693C27" w:rsidRDefault="00544EC4" w:rsidP="00544EC4">
      <w:pPr>
        <w:autoSpaceDE w:val="0"/>
        <w:autoSpaceDN w:val="0"/>
        <w:adjustRightInd w:val="0"/>
        <w:jc w:val="both"/>
        <w:rPr>
          <w:rFonts w:ascii="Arial Narrow" w:hAnsi="Arial Narrow" w:cs="Arial"/>
          <w:b/>
          <w:bCs/>
        </w:rPr>
      </w:pPr>
    </w:p>
    <w:p w:rsidR="00544EC4" w:rsidRPr="00693C27" w:rsidRDefault="00544EC4" w:rsidP="00544EC4">
      <w:pPr>
        <w:autoSpaceDE w:val="0"/>
        <w:autoSpaceDN w:val="0"/>
        <w:adjustRightInd w:val="0"/>
        <w:jc w:val="both"/>
        <w:rPr>
          <w:rFonts w:ascii="Arial Narrow" w:hAnsi="Arial Narrow" w:cs="Arial"/>
        </w:rPr>
      </w:pPr>
      <w:r w:rsidRPr="00693C27">
        <w:rPr>
          <w:rFonts w:ascii="Arial Narrow" w:hAnsi="Arial Narrow" w:cs="Arial"/>
        </w:rPr>
        <w:t>De los artículos 110, párrafo primero, 113, párrafo primero, 116, 117, fracción III, incisos b) y e), y 118, fracciones I, II y III, de la Ley del Impuesto sobre la Renta; 151 de su Reglamento; y 22 del Código Fiscal de la Federación, vigentes en 2006, se advierte que los contribuyentes que tributen bajo el régimen de personas físicas que perciben ingresos por salarios y en general por la prestación de un servicio personal subordinado, que conforme a la ley no están obligados a declarar, porque sus percepciones durante el ejercicio anual no exceden de $400,000.00, para solicitar la devolución del saldo a su favor del impuesto sobre la renta que les resulte no es necesario que demuestren que comunicaron por escrito al retenedor (patrón) que presentarían declaración anual del ejercicio respecto del cual solicitan dicha devolución. Lo anterior es así, ya que dicha comunicación no es una condición necesaria para solicitar la devolución, pues acorde con el artículo 116 de la Ley citada, el contribuyente (trabajador) podrá requerir a las autoridades fiscales la devolución de las cantidades no compensadas; asimismo, cuando no sea posible compensar los saldos a su favor o sólo pueda hacerse en forma parcial, aquél podrá solicitar su devolución, por lo que basta que exista un saldo a favor y se haya presentado la declaración del ejercicio fiscal correspondiente, ya sea por el retenedor como obligado principal o por el propio trabajador cuando haya sido por su cuenta, como lo establece el artículo 22 del Código Fiscal de la Federación, para que el contribuyente (trabajador) tenga derecho a solicitar la devolución.</w:t>
      </w:r>
    </w:p>
    <w:p w:rsidR="00544EC4" w:rsidRPr="00693C27" w:rsidRDefault="00544EC4" w:rsidP="00544EC4">
      <w:pPr>
        <w:autoSpaceDE w:val="0"/>
        <w:autoSpaceDN w:val="0"/>
        <w:adjustRightInd w:val="0"/>
        <w:jc w:val="both"/>
        <w:rPr>
          <w:rFonts w:ascii="Arial Narrow" w:hAnsi="Arial Narrow" w:cs="Arial"/>
        </w:rPr>
      </w:pPr>
    </w:p>
    <w:p w:rsidR="00544EC4" w:rsidRDefault="00544EC4" w:rsidP="00544EC4">
      <w:pPr>
        <w:jc w:val="both"/>
        <w:rPr>
          <w:rFonts w:ascii="Arial Narrow" w:hAnsi="Arial Narrow" w:cs="Arial"/>
        </w:rPr>
      </w:pPr>
      <w:r w:rsidRPr="003620C1">
        <w:rPr>
          <w:rFonts w:ascii="Arial Narrow" w:hAnsi="Arial Narrow" w:cs="Arial"/>
          <w:b/>
          <w:u w:val="single"/>
        </w:rPr>
        <w:t>Contradicción de tesis 147/2011</w:t>
      </w:r>
      <w:r w:rsidRPr="00693C27">
        <w:rPr>
          <w:rFonts w:ascii="Arial Narrow" w:hAnsi="Arial Narrow" w:cs="Arial"/>
        </w:rPr>
        <w:t xml:space="preserve">. Entre las sustentadas por el Segundo Tribunal Colegiado del Trigésimo Circuito y el Primer Tribunal Colegiado en Materias Administrativa y de Trabajo del Décimo Primer Circuito. 1 de junio de 2011. Mayoría de cuatro votos. Disidente: Sergio A. Valls Hernández. Ponente: Luis María Aguilar Morales. Secretario: Aurelio Damián Magaña. </w:t>
      </w:r>
    </w:p>
    <w:p w:rsidR="00A027E4" w:rsidRPr="00693C27" w:rsidRDefault="00A027E4" w:rsidP="00544EC4">
      <w:pPr>
        <w:jc w:val="both"/>
        <w:rPr>
          <w:rFonts w:ascii="Arial Narrow" w:hAnsi="Arial Narrow" w:cs="Arial"/>
        </w:rPr>
      </w:pPr>
    </w:p>
    <w:p w:rsidR="00544EC4" w:rsidRPr="00693C27" w:rsidRDefault="00544EC4" w:rsidP="00544EC4">
      <w:pPr>
        <w:jc w:val="both"/>
        <w:rPr>
          <w:rFonts w:ascii="Arial Narrow" w:hAnsi="Arial Narrow"/>
        </w:rPr>
      </w:pPr>
      <w:r w:rsidRPr="003620C1">
        <w:rPr>
          <w:rFonts w:ascii="Arial Narrow" w:hAnsi="Arial Narrow" w:cs="Arial"/>
          <w:b/>
          <w:u w:val="single"/>
        </w:rPr>
        <w:t>Tesis de jurisprudencia 110/2011</w:t>
      </w:r>
      <w:r w:rsidRPr="00693C27">
        <w:rPr>
          <w:rFonts w:ascii="Arial Narrow" w:hAnsi="Arial Narrow" w:cs="Arial"/>
        </w:rPr>
        <w:t>. Aprobada por la Segunda Sala de este Alto Tribunal, en sesión privada del ocho de junio de dos mil once.</w:t>
      </w:r>
    </w:p>
    <w:p w:rsidR="00544EC4" w:rsidRPr="00693C27" w:rsidRDefault="00544EC4" w:rsidP="00544EC4">
      <w:pPr>
        <w:rPr>
          <w:rFonts w:ascii="Arial Narrow" w:hAnsi="Arial Narrow" w:cs="Tahoma"/>
          <w:color w:val="333333"/>
        </w:rPr>
      </w:pPr>
    </w:p>
    <w:p w:rsidR="00544EC4" w:rsidRDefault="00544EC4" w:rsidP="00544EC4">
      <w:pPr>
        <w:jc w:val="both"/>
        <w:rPr>
          <w:rFonts w:ascii="Berlin Sans FB Demi" w:hAnsi="Berlin Sans FB Demi" w:cs="Arial"/>
          <w:b/>
          <w:color w:val="C00000"/>
          <w:sz w:val="36"/>
        </w:rPr>
      </w:pPr>
    </w:p>
    <w:p w:rsidR="00544EC4" w:rsidRDefault="00544EC4" w:rsidP="00544EC4">
      <w:pPr>
        <w:jc w:val="both"/>
        <w:rPr>
          <w:rFonts w:ascii="Berlin Sans FB Demi" w:hAnsi="Berlin Sans FB Demi" w:cs="Arial"/>
          <w:b/>
          <w:color w:val="C00000"/>
          <w:sz w:val="36"/>
        </w:rPr>
      </w:pPr>
    </w:p>
    <w:p w:rsidR="00544EC4" w:rsidRDefault="00544EC4" w:rsidP="00544EC4">
      <w:pPr>
        <w:jc w:val="both"/>
        <w:rPr>
          <w:rFonts w:ascii="Berlin Sans FB Demi" w:hAnsi="Berlin Sans FB Demi" w:cs="Arial"/>
          <w:b/>
          <w:color w:val="C00000"/>
          <w:sz w:val="36"/>
        </w:rPr>
      </w:pPr>
    </w:p>
    <w:p w:rsidR="00544EC4" w:rsidRPr="00693C27" w:rsidRDefault="00A027E4" w:rsidP="00544EC4">
      <w:pPr>
        <w:jc w:val="both"/>
        <w:rPr>
          <w:rFonts w:ascii="Berlin Sans FB Demi" w:hAnsi="Berlin Sans FB Demi" w:cs="Arial"/>
          <w:b/>
          <w:color w:val="C00000"/>
          <w:sz w:val="36"/>
        </w:rPr>
      </w:pPr>
      <w:r>
        <w:rPr>
          <w:rFonts w:ascii="Berlin Sans FB Demi" w:hAnsi="Berlin Sans FB Demi" w:cs="Arial"/>
          <w:b/>
          <w:color w:val="C00000"/>
          <w:sz w:val="36"/>
        </w:rPr>
        <w:lastRenderedPageBreak/>
        <w:t>13</w:t>
      </w:r>
      <w:r w:rsidR="00544EC4">
        <w:rPr>
          <w:rFonts w:ascii="Berlin Sans FB Demi" w:hAnsi="Berlin Sans FB Demi" w:cs="Arial"/>
          <w:b/>
          <w:color w:val="C00000"/>
          <w:sz w:val="36"/>
        </w:rPr>
        <w:t>.- Motivación de los recargos en un crédito fiscal</w:t>
      </w:r>
    </w:p>
    <w:p w:rsidR="00544EC4" w:rsidRDefault="00544EC4" w:rsidP="00544EC4">
      <w:pPr>
        <w:rPr>
          <w:rFonts w:ascii="Arial Narrow" w:hAnsi="Arial Narrow"/>
          <w:b/>
          <w:bCs/>
          <w:color w:val="000000"/>
          <w:lang w:val="es-ES" w:eastAsia="es-ES"/>
        </w:rPr>
      </w:pPr>
    </w:p>
    <w:p w:rsidR="00544EC4" w:rsidRPr="00264502" w:rsidRDefault="00544EC4" w:rsidP="00544EC4">
      <w:pPr>
        <w:rPr>
          <w:rFonts w:ascii="Arial Narrow" w:hAnsi="Arial Narrow"/>
          <w:color w:val="000000"/>
          <w:lang w:val="es-ES" w:eastAsia="es-ES"/>
        </w:rPr>
      </w:pPr>
      <w:r w:rsidRPr="00264502">
        <w:rPr>
          <w:rFonts w:ascii="Arial Narrow" w:hAnsi="Arial Narrow"/>
          <w:b/>
          <w:bCs/>
          <w:color w:val="000000"/>
          <w:lang w:val="es-ES" w:eastAsia="es-ES"/>
        </w:rPr>
        <w:t xml:space="preserve">Registro No. </w:t>
      </w:r>
      <w:r w:rsidRPr="00264502">
        <w:rPr>
          <w:rFonts w:ascii="Arial Narrow" w:hAnsi="Arial Narrow"/>
          <w:color w:val="000000"/>
          <w:lang w:val="es-ES" w:eastAsia="es-ES"/>
        </w:rPr>
        <w:t>162301</w:t>
      </w:r>
    </w:p>
    <w:p w:rsidR="00544EC4" w:rsidRPr="00264502" w:rsidRDefault="00544EC4" w:rsidP="00544EC4">
      <w:pPr>
        <w:rPr>
          <w:rFonts w:ascii="Arial Narrow" w:hAnsi="Arial Narrow"/>
          <w:color w:val="000000"/>
          <w:lang w:val="es-ES" w:eastAsia="es-ES"/>
        </w:rPr>
      </w:pPr>
      <w:r w:rsidRPr="00264502">
        <w:rPr>
          <w:rFonts w:ascii="Arial Narrow" w:hAnsi="Arial Narrow"/>
          <w:b/>
          <w:bCs/>
          <w:color w:val="000000"/>
          <w:lang w:val="es-ES" w:eastAsia="es-ES"/>
        </w:rPr>
        <w:t>Localización:</w:t>
      </w:r>
      <w:r w:rsidRPr="00264502">
        <w:rPr>
          <w:rFonts w:ascii="Arial Narrow" w:hAnsi="Arial Narrow"/>
          <w:color w:val="000000"/>
          <w:lang w:val="es-ES" w:eastAsia="es-ES"/>
        </w:rPr>
        <w:t xml:space="preserve"> </w:t>
      </w:r>
      <w:r w:rsidRPr="00264502">
        <w:rPr>
          <w:rFonts w:ascii="Arial Narrow" w:hAnsi="Arial Narrow"/>
          <w:color w:val="000000"/>
          <w:lang w:val="es-ES" w:eastAsia="es-ES"/>
        </w:rPr>
        <w:br/>
        <w:t>Novena Época</w:t>
      </w:r>
      <w:r w:rsidRPr="00264502">
        <w:rPr>
          <w:rFonts w:ascii="Arial Narrow" w:hAnsi="Arial Narrow"/>
          <w:color w:val="000000"/>
          <w:lang w:val="es-ES" w:eastAsia="es-ES"/>
        </w:rPr>
        <w:br/>
        <w:t>Instancia: Segunda Sala</w:t>
      </w:r>
      <w:r w:rsidRPr="00264502">
        <w:rPr>
          <w:rFonts w:ascii="Arial Narrow" w:hAnsi="Arial Narrow"/>
          <w:color w:val="000000"/>
          <w:lang w:val="es-ES" w:eastAsia="es-ES"/>
        </w:rPr>
        <w:br/>
        <w:t>Fuente: Semanario Judicial de la Federación y su Gaceta</w:t>
      </w:r>
      <w:r w:rsidRPr="00264502">
        <w:rPr>
          <w:rFonts w:ascii="Arial Narrow" w:hAnsi="Arial Narrow"/>
          <w:color w:val="000000"/>
          <w:lang w:val="es-ES" w:eastAsia="es-ES"/>
        </w:rPr>
        <w:br/>
        <w:t>XXXIII, Abril de 2011</w:t>
      </w:r>
      <w:r w:rsidRPr="00264502">
        <w:rPr>
          <w:rFonts w:ascii="Arial Narrow" w:hAnsi="Arial Narrow"/>
          <w:color w:val="000000"/>
          <w:lang w:val="es-ES" w:eastAsia="es-ES"/>
        </w:rPr>
        <w:br/>
        <w:t>Página: 553</w:t>
      </w:r>
      <w:r w:rsidRPr="00264502">
        <w:rPr>
          <w:rFonts w:ascii="Arial Narrow" w:hAnsi="Arial Narrow"/>
          <w:color w:val="000000"/>
          <w:lang w:val="es-ES" w:eastAsia="es-ES"/>
        </w:rPr>
        <w:br/>
        <w:t>Tesis: 2a./J. 52/2011</w:t>
      </w:r>
      <w:r w:rsidRPr="00264502">
        <w:rPr>
          <w:rFonts w:ascii="Arial Narrow" w:hAnsi="Arial Narrow"/>
          <w:color w:val="000000"/>
          <w:lang w:val="es-ES" w:eastAsia="es-ES"/>
        </w:rPr>
        <w:br/>
        <w:t>Jurisprudencia</w:t>
      </w:r>
      <w:r w:rsidRPr="00264502">
        <w:rPr>
          <w:rFonts w:ascii="Arial Narrow" w:hAnsi="Arial Narrow"/>
          <w:color w:val="000000"/>
          <w:lang w:val="es-ES" w:eastAsia="es-ES"/>
        </w:rPr>
        <w:br/>
        <w:t>Materia(s): Administrativa</w:t>
      </w:r>
    </w:p>
    <w:p w:rsidR="00544EC4" w:rsidRPr="00264502" w:rsidRDefault="00544EC4" w:rsidP="00544EC4">
      <w:pPr>
        <w:spacing w:before="100" w:beforeAutospacing="1" w:after="100" w:afterAutospacing="1"/>
        <w:jc w:val="both"/>
        <w:rPr>
          <w:rFonts w:ascii="Arial Narrow" w:hAnsi="Arial Narrow"/>
          <w:color w:val="000000"/>
          <w:lang w:val="es-ES" w:eastAsia="es-ES"/>
        </w:rPr>
      </w:pPr>
      <w:r w:rsidRPr="00264502">
        <w:rPr>
          <w:rFonts w:ascii="Arial Narrow" w:hAnsi="Arial Narrow"/>
          <w:b/>
          <w:bCs/>
          <w:color w:val="000000"/>
          <w:lang w:val="es-ES" w:eastAsia="es-ES"/>
        </w:rPr>
        <w:t>RESOLUCIÓN DETERMINANTE DE UN CRÉDITO FISCAL. REQUISITOS QUE DEBE CONTENER PARA CUMPLIR CON LA GARANTÍA DE LEGALIDAD EN RELACIÓN CON LOS RECARGOS.</w:t>
      </w:r>
      <w:r w:rsidRPr="00264502">
        <w:rPr>
          <w:rFonts w:ascii="Arial Narrow" w:hAnsi="Arial Narrow"/>
          <w:color w:val="000000"/>
          <w:lang w:val="es-ES" w:eastAsia="es-ES"/>
        </w:rPr>
        <w:t xml:space="preserve"> </w:t>
      </w:r>
    </w:p>
    <w:p w:rsidR="00544EC4" w:rsidRPr="00264502" w:rsidRDefault="00544EC4" w:rsidP="00544EC4">
      <w:pPr>
        <w:spacing w:before="100" w:beforeAutospacing="1" w:after="100" w:afterAutospacing="1"/>
        <w:jc w:val="both"/>
        <w:rPr>
          <w:rFonts w:ascii="Arial Narrow" w:hAnsi="Arial Narrow"/>
          <w:color w:val="000000"/>
          <w:lang w:val="es-ES" w:eastAsia="es-ES"/>
        </w:rPr>
      </w:pPr>
      <w:r w:rsidRPr="00264502">
        <w:rPr>
          <w:rFonts w:ascii="Arial Narrow" w:hAnsi="Arial Narrow"/>
          <w:color w:val="000000"/>
          <w:lang w:val="es-ES" w:eastAsia="es-ES"/>
        </w:rPr>
        <w:t>Para que una liquidación, en el rubro de recargos, cumpla con la citada garantía, contenida en el artículo 16 de la Constitución Política de los Estados Unidos Mexicanos, basta con que la autoridad fiscal invoque los preceptos legales aplicables y exponga detalladamente el procedimiento que siguió para determinar su cuantía, lo que implica que, además de pormenorizar la forma en que llevó a cabo las operaciones aritméticas aplicables, detalle claramente las fuentes de las que obtuvo los datos necesarios para realizar tales operaciones, esto es, la fecha de los Diarios Oficiales de la Federación y la Ley de Ingresos de la Federación de los que se obtuvieron los índices nacionales de precios al consumidor, así como la tasa de recargos que hubiese aplicado, a fin de que el contribuyente pueda conocer el procedimiento aritmético que siguió la autoridad para obtener el monto de recargos, de modo que constate su exactitud o inexactitud, sin que sea necesario que la autoridad desarrolle las operaciones aritméticas correspondientes, pues éstas podrá elaborarlas el propio afectado en la medida en que dispondrá del procedimiento matemático seguido para su cálculo.</w:t>
      </w:r>
    </w:p>
    <w:p w:rsidR="00544EC4" w:rsidRDefault="00544EC4" w:rsidP="00544EC4">
      <w:pPr>
        <w:spacing w:before="100" w:beforeAutospacing="1" w:after="100" w:afterAutospacing="1"/>
        <w:jc w:val="both"/>
        <w:rPr>
          <w:rFonts w:ascii="Arial Narrow" w:hAnsi="Arial Narrow"/>
          <w:color w:val="000000"/>
          <w:lang w:val="es-ES" w:eastAsia="es-ES"/>
        </w:rPr>
      </w:pPr>
      <w:r w:rsidRPr="00264502">
        <w:rPr>
          <w:rFonts w:ascii="Arial Narrow" w:hAnsi="Arial Narrow"/>
          <w:b/>
          <w:color w:val="000000"/>
          <w:u w:val="single"/>
          <w:lang w:val="es-ES" w:eastAsia="es-ES"/>
        </w:rPr>
        <w:t>Contradicción de tesis 418/2010</w:t>
      </w:r>
      <w:r w:rsidRPr="00264502">
        <w:rPr>
          <w:rFonts w:ascii="Arial Narrow" w:hAnsi="Arial Narrow"/>
          <w:color w:val="000000"/>
          <w:lang w:val="es-ES" w:eastAsia="es-ES"/>
        </w:rPr>
        <w:t xml:space="preserve">. Entre las sustentadas por el Primer Tribunal Colegiado en Materia Administrativa del Sexto Circuito y el entonces Segundo Tribunal Colegiado del referido circuito, actual Segundo Tribunal Colegiado en Materia Civil del Sexto Circuito. 23 de febrero de 2011. Cinco votos. Ponente: Luis María Aguilar Morales. Secretario: Francisco Gorka </w:t>
      </w:r>
      <w:proofErr w:type="spellStart"/>
      <w:r w:rsidRPr="00264502">
        <w:rPr>
          <w:rFonts w:ascii="Arial Narrow" w:hAnsi="Arial Narrow"/>
          <w:color w:val="000000"/>
          <w:lang w:val="es-ES" w:eastAsia="es-ES"/>
        </w:rPr>
        <w:t>Migoni</w:t>
      </w:r>
      <w:proofErr w:type="spellEnd"/>
      <w:r w:rsidRPr="00264502">
        <w:rPr>
          <w:rFonts w:ascii="Arial Narrow" w:hAnsi="Arial Narrow"/>
          <w:color w:val="000000"/>
          <w:lang w:val="es-ES" w:eastAsia="es-ES"/>
        </w:rPr>
        <w:t xml:space="preserve"> </w:t>
      </w:r>
      <w:proofErr w:type="spellStart"/>
      <w:r w:rsidRPr="00264502">
        <w:rPr>
          <w:rFonts w:ascii="Arial Narrow" w:hAnsi="Arial Narrow"/>
          <w:color w:val="000000"/>
          <w:lang w:val="es-ES" w:eastAsia="es-ES"/>
        </w:rPr>
        <w:t>Goslinga</w:t>
      </w:r>
      <w:proofErr w:type="spellEnd"/>
      <w:r w:rsidRPr="00264502">
        <w:rPr>
          <w:rFonts w:ascii="Arial Narrow" w:hAnsi="Arial Narrow"/>
          <w:color w:val="000000"/>
          <w:lang w:val="es-ES" w:eastAsia="es-ES"/>
        </w:rPr>
        <w:t>.</w:t>
      </w:r>
      <w:r w:rsidRPr="00264502">
        <w:rPr>
          <w:rFonts w:ascii="Arial Narrow" w:hAnsi="Arial Narrow"/>
          <w:color w:val="000000"/>
          <w:lang w:val="es-ES" w:eastAsia="es-ES"/>
        </w:rPr>
        <w:br/>
      </w:r>
      <w:r w:rsidRPr="00264502">
        <w:rPr>
          <w:rFonts w:ascii="Arial Narrow" w:hAnsi="Arial Narrow"/>
          <w:color w:val="000000"/>
          <w:lang w:val="es-ES" w:eastAsia="es-ES"/>
        </w:rPr>
        <w:br/>
      </w:r>
      <w:r w:rsidRPr="00264502">
        <w:rPr>
          <w:rFonts w:ascii="Arial Narrow" w:hAnsi="Arial Narrow"/>
          <w:b/>
          <w:color w:val="000000"/>
          <w:u w:val="single"/>
          <w:lang w:val="es-ES" w:eastAsia="es-ES"/>
        </w:rPr>
        <w:t>Tesis de jurisprudencia 52/2011</w:t>
      </w:r>
      <w:r w:rsidRPr="00264502">
        <w:rPr>
          <w:rFonts w:ascii="Arial Narrow" w:hAnsi="Arial Narrow"/>
          <w:color w:val="000000"/>
          <w:lang w:val="es-ES" w:eastAsia="es-ES"/>
        </w:rPr>
        <w:t>. Aprobada por la Segunda Sala de este Alto Tribunal, en sesión privada del dos de marzo de dos mil once</w:t>
      </w:r>
    </w:p>
    <w:p w:rsidR="00544EC4" w:rsidRDefault="00544EC4" w:rsidP="00544EC4">
      <w:pPr>
        <w:spacing w:before="100" w:beforeAutospacing="1" w:after="100" w:afterAutospacing="1"/>
        <w:jc w:val="both"/>
        <w:rPr>
          <w:rFonts w:ascii="Berlin Sans FB Demi" w:hAnsi="Berlin Sans FB Demi"/>
          <w:color w:val="C00000"/>
          <w:sz w:val="36"/>
          <w:lang w:val="es-ES" w:eastAsia="es-ES"/>
        </w:rPr>
      </w:pPr>
    </w:p>
    <w:p w:rsidR="00544EC4" w:rsidRDefault="00544EC4" w:rsidP="00544EC4">
      <w:pPr>
        <w:spacing w:before="100" w:beforeAutospacing="1" w:after="100" w:afterAutospacing="1"/>
        <w:jc w:val="both"/>
        <w:rPr>
          <w:rFonts w:ascii="Berlin Sans FB Demi" w:hAnsi="Berlin Sans FB Demi"/>
          <w:color w:val="C00000"/>
          <w:sz w:val="36"/>
          <w:lang w:val="es-ES" w:eastAsia="es-ES"/>
        </w:rPr>
      </w:pPr>
    </w:p>
    <w:p w:rsidR="00544EC4" w:rsidRPr="00A027E4" w:rsidRDefault="00A027E4" w:rsidP="00A027E4">
      <w:pPr>
        <w:spacing w:before="100" w:beforeAutospacing="1" w:after="100" w:afterAutospacing="1"/>
        <w:jc w:val="both"/>
        <w:rPr>
          <w:rFonts w:ascii="Arial Narrow" w:hAnsi="Arial Narrow"/>
          <w:color w:val="000000"/>
          <w:lang w:eastAsia="es-ES"/>
        </w:rPr>
      </w:pPr>
      <w:r>
        <w:rPr>
          <w:rFonts w:ascii="Berlin Sans FB Demi" w:hAnsi="Berlin Sans FB Demi"/>
          <w:color w:val="C00000"/>
          <w:sz w:val="36"/>
          <w:lang w:val="es-ES" w:eastAsia="es-ES"/>
        </w:rPr>
        <w:lastRenderedPageBreak/>
        <w:t>14</w:t>
      </w:r>
      <w:r w:rsidR="00544EC4" w:rsidRPr="00264502">
        <w:rPr>
          <w:rFonts w:ascii="Berlin Sans FB Demi" w:hAnsi="Berlin Sans FB Demi"/>
          <w:color w:val="C00000"/>
          <w:sz w:val="36"/>
          <w:lang w:val="es-ES" w:eastAsia="es-ES"/>
        </w:rPr>
        <w:t>.-</w:t>
      </w:r>
      <w:r w:rsidR="00544EC4" w:rsidRPr="00264502">
        <w:rPr>
          <w:rFonts w:ascii="Arial Narrow" w:hAnsi="Arial Narrow"/>
          <w:color w:val="000000"/>
          <w:sz w:val="36"/>
          <w:lang w:val="es-ES" w:eastAsia="es-ES"/>
        </w:rPr>
        <w:t xml:space="preserve"> </w:t>
      </w:r>
      <w:r w:rsidR="00544EC4">
        <w:rPr>
          <w:rFonts w:ascii="Berlin Sans FB Demi" w:hAnsi="Berlin Sans FB Demi" w:cs="Arial"/>
          <w:b/>
          <w:color w:val="C00000"/>
          <w:sz w:val="36"/>
        </w:rPr>
        <w:t>Dictamen fiscal revisión base para auditoría fiscal</w:t>
      </w:r>
    </w:p>
    <w:p w:rsidR="00544EC4" w:rsidRPr="00693C27" w:rsidRDefault="00544EC4" w:rsidP="00544EC4">
      <w:pPr>
        <w:rPr>
          <w:rFonts w:ascii="Arial Narrow" w:hAnsi="Arial Narrow"/>
          <w:color w:val="000000"/>
          <w:lang w:val="es-ES" w:eastAsia="es-ES"/>
        </w:rPr>
      </w:pPr>
      <w:r w:rsidRPr="00693C27">
        <w:rPr>
          <w:rFonts w:ascii="Arial Narrow" w:hAnsi="Arial Narrow"/>
          <w:b/>
          <w:bCs/>
          <w:color w:val="000000"/>
          <w:lang w:val="es-ES" w:eastAsia="es-ES"/>
        </w:rPr>
        <w:t>Registro No.</w:t>
      </w:r>
      <w:r w:rsidRPr="00693C27">
        <w:rPr>
          <w:rFonts w:ascii="Arial Narrow" w:hAnsi="Arial Narrow"/>
          <w:color w:val="000000"/>
          <w:lang w:val="es-ES" w:eastAsia="es-ES"/>
        </w:rPr>
        <w:t>162157</w:t>
      </w:r>
    </w:p>
    <w:p w:rsidR="00544EC4" w:rsidRPr="00693C27" w:rsidRDefault="00544EC4" w:rsidP="00544EC4">
      <w:pPr>
        <w:rPr>
          <w:rFonts w:ascii="Arial Narrow" w:hAnsi="Arial Narrow"/>
          <w:color w:val="000000"/>
          <w:lang w:val="es-ES" w:eastAsia="es-ES"/>
        </w:rPr>
      </w:pPr>
      <w:r w:rsidRPr="00693C27">
        <w:rPr>
          <w:rFonts w:ascii="Arial Narrow" w:hAnsi="Arial Narrow"/>
          <w:b/>
          <w:bCs/>
          <w:color w:val="000000"/>
          <w:lang w:val="es-ES" w:eastAsia="es-ES"/>
        </w:rPr>
        <w:t>Localización:</w:t>
      </w:r>
      <w:r w:rsidRPr="00693C27">
        <w:rPr>
          <w:rFonts w:ascii="Arial Narrow" w:hAnsi="Arial Narrow"/>
          <w:color w:val="000000"/>
          <w:lang w:val="es-ES" w:eastAsia="es-ES"/>
        </w:rPr>
        <w:br/>
        <w:t>Novena Época</w:t>
      </w:r>
      <w:r w:rsidRPr="00693C27">
        <w:rPr>
          <w:rFonts w:ascii="Arial Narrow" w:hAnsi="Arial Narrow"/>
          <w:color w:val="000000"/>
          <w:lang w:val="es-ES" w:eastAsia="es-ES"/>
        </w:rPr>
        <w:br/>
        <w:t>Instancia: Segunda Sala</w:t>
      </w:r>
      <w:r w:rsidRPr="00693C27">
        <w:rPr>
          <w:rFonts w:ascii="Arial Narrow" w:hAnsi="Arial Narrow"/>
          <w:color w:val="000000"/>
          <w:lang w:val="es-ES" w:eastAsia="es-ES"/>
        </w:rPr>
        <w:br/>
        <w:t>Fuente: Semanario Judicial de la Federación y su Gaceta</w:t>
      </w:r>
      <w:r w:rsidRPr="00693C27">
        <w:rPr>
          <w:rFonts w:ascii="Arial Narrow" w:hAnsi="Arial Narrow"/>
          <w:color w:val="000000"/>
          <w:lang w:val="es-ES" w:eastAsia="es-ES"/>
        </w:rPr>
        <w:br/>
        <w:t xml:space="preserve">XXXIII, </w:t>
      </w:r>
      <w:r w:rsidRPr="00693C27">
        <w:rPr>
          <w:rFonts w:ascii="Arial Narrow" w:hAnsi="Arial Narrow"/>
          <w:b/>
          <w:bCs/>
          <w:lang w:val="es-ES" w:eastAsia="es-ES"/>
        </w:rPr>
        <w:t>Mayo de 2011</w:t>
      </w:r>
      <w:r w:rsidRPr="00693C27">
        <w:rPr>
          <w:rFonts w:ascii="Arial Narrow" w:hAnsi="Arial Narrow"/>
          <w:lang w:val="es-ES" w:eastAsia="es-ES"/>
        </w:rPr>
        <w:br/>
        <w:t>Página: 314</w:t>
      </w:r>
      <w:r w:rsidRPr="00693C27">
        <w:rPr>
          <w:rFonts w:ascii="Arial Narrow" w:hAnsi="Arial Narrow"/>
          <w:lang w:val="es-ES" w:eastAsia="es-ES"/>
        </w:rPr>
        <w:br/>
      </w:r>
      <w:r w:rsidRPr="00693C27">
        <w:rPr>
          <w:rFonts w:ascii="Arial Narrow" w:hAnsi="Arial Narrow"/>
          <w:color w:val="000000"/>
          <w:lang w:val="es-ES" w:eastAsia="es-ES"/>
        </w:rPr>
        <w:t>Tesis: 2a./J. 38/2011</w:t>
      </w:r>
      <w:r w:rsidRPr="00693C27">
        <w:rPr>
          <w:rFonts w:ascii="Arial Narrow" w:hAnsi="Arial Narrow"/>
          <w:color w:val="000000"/>
          <w:lang w:val="es-ES" w:eastAsia="es-ES"/>
        </w:rPr>
        <w:br/>
        <w:t>Jurisprudencia</w:t>
      </w:r>
      <w:r w:rsidRPr="00693C27">
        <w:rPr>
          <w:rFonts w:ascii="Arial Narrow" w:hAnsi="Arial Narrow"/>
          <w:color w:val="000000"/>
          <w:lang w:val="es-ES" w:eastAsia="es-ES"/>
        </w:rPr>
        <w:br/>
        <w:t>Materia(s): Administrativa</w:t>
      </w:r>
    </w:p>
    <w:p w:rsidR="00544EC4" w:rsidRPr="00693C27" w:rsidRDefault="00544EC4" w:rsidP="00544EC4">
      <w:pPr>
        <w:spacing w:before="100" w:beforeAutospacing="1" w:after="100" w:afterAutospacing="1"/>
        <w:jc w:val="both"/>
        <w:rPr>
          <w:rFonts w:ascii="Arial Narrow" w:hAnsi="Arial Narrow"/>
          <w:color w:val="000000"/>
          <w:lang w:val="es-ES" w:eastAsia="es-ES"/>
        </w:rPr>
      </w:pPr>
      <w:r w:rsidRPr="00693C27">
        <w:rPr>
          <w:rFonts w:ascii="Arial Narrow" w:hAnsi="Arial Narrow"/>
          <w:b/>
          <w:bCs/>
          <w:color w:val="000000"/>
          <w:lang w:val="es-ES" w:eastAsia="es-ES"/>
        </w:rPr>
        <w:t>DICTAMEN DE ESTADOS FINANCIEROS. LA RESOLUCIÓN DETERMINANTE DE UN CRÉDITO FISCAL APOYADA EN ÉL, CUMPLE CON LA GARANTÍA DE LEGALIDAD CUANDO FUNDA Y MOTIVA EL MÉTODO EMPLEADO, SIN QUE BASTE QUE LA AUTORIDAD SE REMITA A CANTIDADES PRECISADAS POR EL CONTADOR EN EL DICTAMEN O QUE TRANSCRIBA PARTE DE ÉSTE.</w:t>
      </w:r>
      <w:r w:rsidRPr="00693C27">
        <w:rPr>
          <w:rFonts w:ascii="Arial Narrow" w:hAnsi="Arial Narrow"/>
          <w:color w:val="000000"/>
          <w:lang w:val="es-ES" w:eastAsia="es-ES"/>
        </w:rPr>
        <w:t xml:space="preserve"> </w:t>
      </w:r>
    </w:p>
    <w:p w:rsidR="00544EC4" w:rsidRPr="00693C27" w:rsidRDefault="00544EC4" w:rsidP="00544EC4">
      <w:pPr>
        <w:spacing w:before="100" w:beforeAutospacing="1" w:after="100" w:afterAutospacing="1"/>
        <w:jc w:val="both"/>
        <w:rPr>
          <w:rFonts w:ascii="Arial Narrow" w:hAnsi="Arial Narrow"/>
          <w:color w:val="000000"/>
          <w:lang w:val="es-ES" w:eastAsia="es-ES"/>
        </w:rPr>
      </w:pPr>
      <w:r w:rsidRPr="00693C27">
        <w:rPr>
          <w:rFonts w:ascii="Arial Narrow" w:hAnsi="Arial Narrow"/>
          <w:color w:val="000000"/>
          <w:lang w:val="es-ES" w:eastAsia="es-ES"/>
        </w:rPr>
        <w:t>Si de los artículos 32-A, 42, fracción IV, 52 y 52-A del Código Fiscal de la Federación, se advierte que las personas físicas con actividades empresariales y ciertas personas morales, deben dictaminar sus estados financieros por contador público autorizado; que las autoridades fiscales a fin de comprobar el debido cumplimiento de las disposiciones de esa materia y, en su caso, determinar las contribuciones omitidas o los créditos fiscales, están facultadas para revisar los dictámenes contables; que éstos gozan de la presunción de veracidad siempre y cuando en su emisión se satisfagan los requisitos formales previstos en la legislación de la materia, y que las opiniones o interpretaciones contenidas en ellos, por no emanar de un órgano de la administración pública federal, no obligan a dichas autoridades, ni las sustituyen en sus atribuciones; ello significa que las resoluciones determinantes de créditos fiscales emitidas con apoyo en dichos dictámenes constituyen actos de molestia cuya validez está condicionada a respetar la garantía de legalidad consagrada en el artículo 16 de la Constitución Política de los Estados Unidos Mexicanos. Sobre tales premisas, si bien es verdad que dichos dictámenes permiten tanto al contribuyente como a la autoridad fiscal conocer la situación contable y fiscal del primero y que los hechos expuestos en ellos gozan de la referida presunción, eso no significa que la autoridad hacendaria esté eximida de colmar dicha garantía ni facultada para imponer créditos fiscales por omisiones advertidas en los dictámenes, señalando únicamente cantidades omitidas conforme a lo dictaminado por el contador público autorizado o transcribiendo parte de sus opiniones, sin explicar en las resoluciones que emitan de dónde derivaron los montos, aludiendo al método o fórmula utilizado y, sobre todo, sin constatar si las opiniones satisfacen o no los referidos requisitos formales cuya observancia es condición para que opere la presunción de veracidad, pues los requisitos esenciales de fundamentación y motivación que forman parte de la garantía de legalidad debe colmarlos la autoridad exactora en el acto de molestia, a efecto de que el contribuyente, en ese caso, pueda conocer el método utilizado para obtener el numerario exacto adeudado y pueda, por consiguiente, combatirlo.</w:t>
      </w:r>
    </w:p>
    <w:p w:rsidR="00544EC4" w:rsidRPr="00693C27" w:rsidRDefault="00544EC4" w:rsidP="00544EC4">
      <w:pPr>
        <w:spacing w:before="100" w:beforeAutospacing="1" w:after="100" w:afterAutospacing="1"/>
        <w:jc w:val="both"/>
        <w:rPr>
          <w:rFonts w:ascii="Arial Narrow" w:hAnsi="Arial Narrow"/>
        </w:rPr>
      </w:pPr>
      <w:r w:rsidRPr="003620C1">
        <w:rPr>
          <w:rFonts w:ascii="Arial Narrow" w:hAnsi="Arial Narrow"/>
          <w:b/>
          <w:color w:val="000000"/>
          <w:u w:val="single"/>
          <w:lang w:val="es-ES" w:eastAsia="es-ES"/>
        </w:rPr>
        <w:lastRenderedPageBreak/>
        <w:t>Contradicción de tesis 449/2010</w:t>
      </w:r>
      <w:r w:rsidRPr="00693C27">
        <w:rPr>
          <w:rFonts w:ascii="Arial Narrow" w:hAnsi="Arial Narrow"/>
          <w:color w:val="000000"/>
          <w:lang w:val="es-ES" w:eastAsia="es-ES"/>
        </w:rPr>
        <w:t>. Entre las sustentadas por los Tribunales Colegiados Octavo en Materia Administrativa del Primer Circuito y Segundo del Vigésimo Séptimo Circuito. 2 de febrero de 2011. Cinco votos. Ponente: Sergio A. Valls Hernández. Secretario: José Álvaro Vargas Ornelas.</w:t>
      </w:r>
      <w:r w:rsidRPr="00693C27">
        <w:rPr>
          <w:rFonts w:ascii="Arial Narrow" w:hAnsi="Arial Narrow"/>
          <w:color w:val="000000"/>
          <w:lang w:val="es-ES" w:eastAsia="es-ES"/>
        </w:rPr>
        <w:br/>
      </w:r>
      <w:r w:rsidRPr="00693C27">
        <w:rPr>
          <w:rFonts w:ascii="Arial Narrow" w:hAnsi="Arial Narrow"/>
          <w:color w:val="000000"/>
          <w:lang w:val="es-ES" w:eastAsia="es-ES"/>
        </w:rPr>
        <w:br/>
      </w:r>
      <w:r w:rsidRPr="003620C1">
        <w:rPr>
          <w:rFonts w:ascii="Arial Narrow" w:hAnsi="Arial Narrow"/>
          <w:b/>
          <w:color w:val="000000"/>
          <w:u w:val="single"/>
          <w:lang w:val="es-ES" w:eastAsia="es-ES"/>
        </w:rPr>
        <w:t>Tesis de jurisprudencia 38/2011</w:t>
      </w:r>
      <w:r w:rsidRPr="00693C27">
        <w:rPr>
          <w:rFonts w:ascii="Arial Narrow" w:hAnsi="Arial Narrow"/>
          <w:color w:val="000000"/>
          <w:lang w:val="es-ES" w:eastAsia="es-ES"/>
        </w:rPr>
        <w:t>. Aprobada por la Segunda Sala de este Alto Tribunal, en sesión privada del nueve de febrero de dos mil once</w:t>
      </w:r>
    </w:p>
    <w:p w:rsidR="00544EC4" w:rsidRDefault="00544EC4" w:rsidP="00544EC4">
      <w:pPr>
        <w:jc w:val="both"/>
        <w:rPr>
          <w:rFonts w:ascii="Berlin Sans FB Demi" w:hAnsi="Berlin Sans FB Demi" w:cs="Arial"/>
          <w:b/>
          <w:color w:val="C00000"/>
          <w:sz w:val="36"/>
        </w:rPr>
      </w:pPr>
    </w:p>
    <w:p w:rsidR="00544EC4" w:rsidRPr="00693C27" w:rsidRDefault="00A027E4" w:rsidP="00544EC4">
      <w:pPr>
        <w:jc w:val="both"/>
        <w:rPr>
          <w:rFonts w:ascii="Berlin Sans FB Demi" w:hAnsi="Berlin Sans FB Demi" w:cs="Arial"/>
          <w:b/>
          <w:color w:val="C00000"/>
          <w:sz w:val="36"/>
        </w:rPr>
      </w:pPr>
      <w:r>
        <w:rPr>
          <w:rFonts w:ascii="Berlin Sans FB Demi" w:hAnsi="Berlin Sans FB Demi" w:cs="Arial"/>
          <w:b/>
          <w:color w:val="C00000"/>
          <w:sz w:val="36"/>
        </w:rPr>
        <w:t>15.- Revisión de gabinete</w:t>
      </w:r>
      <w:r w:rsidR="00544EC4">
        <w:rPr>
          <w:rFonts w:ascii="Berlin Sans FB Demi" w:hAnsi="Berlin Sans FB Demi" w:cs="Arial"/>
          <w:b/>
          <w:color w:val="C00000"/>
          <w:sz w:val="36"/>
        </w:rPr>
        <w:t xml:space="preserve"> – oficio de observaciones</w:t>
      </w:r>
    </w:p>
    <w:p w:rsidR="00544EC4" w:rsidRDefault="00544EC4" w:rsidP="00544EC4">
      <w:pPr>
        <w:rPr>
          <w:rFonts w:ascii="Arial Narrow" w:hAnsi="Arial Narrow" w:cs="Arial"/>
          <w:b/>
          <w:color w:val="000000"/>
        </w:rPr>
      </w:pPr>
    </w:p>
    <w:p w:rsidR="00544EC4" w:rsidRDefault="00544EC4" w:rsidP="00544EC4">
      <w:pPr>
        <w:rPr>
          <w:rFonts w:ascii="Arial Narrow" w:hAnsi="Arial Narrow" w:cs="Arial"/>
          <w:b/>
          <w:color w:val="000000"/>
        </w:rPr>
      </w:pPr>
    </w:p>
    <w:p w:rsidR="00544EC4" w:rsidRPr="00264502" w:rsidRDefault="00544EC4" w:rsidP="00544EC4">
      <w:pPr>
        <w:rPr>
          <w:rFonts w:ascii="Arial Narrow" w:hAnsi="Arial Narrow" w:cs="Arial"/>
          <w:b/>
          <w:color w:val="000000"/>
        </w:rPr>
      </w:pPr>
      <w:r w:rsidRPr="00264502">
        <w:rPr>
          <w:rFonts w:ascii="Arial Narrow" w:hAnsi="Arial Narrow" w:cs="Arial"/>
          <w:b/>
          <w:color w:val="000000"/>
        </w:rPr>
        <w:t>2a./J. 18/2011</w:t>
      </w:r>
    </w:p>
    <w:p w:rsidR="00544EC4" w:rsidRPr="00264502" w:rsidRDefault="00544EC4" w:rsidP="00544EC4">
      <w:pPr>
        <w:jc w:val="center"/>
        <w:rPr>
          <w:rFonts w:ascii="Arial Narrow" w:hAnsi="Arial Narrow" w:cs="Arial"/>
          <w:b/>
          <w:color w:val="000000"/>
        </w:rPr>
      </w:pPr>
    </w:p>
    <w:p w:rsidR="00544EC4" w:rsidRPr="00264502" w:rsidRDefault="00544EC4" w:rsidP="00544EC4">
      <w:pPr>
        <w:jc w:val="both"/>
        <w:rPr>
          <w:rFonts w:ascii="Arial Narrow" w:hAnsi="Arial Narrow" w:cs="Arial"/>
          <w:color w:val="000000"/>
        </w:rPr>
      </w:pPr>
      <w:r w:rsidRPr="00264502">
        <w:rPr>
          <w:rFonts w:ascii="Arial Narrow" w:hAnsi="Arial Narrow" w:cs="Arial"/>
          <w:b/>
          <w:color w:val="000000"/>
        </w:rPr>
        <w:t xml:space="preserve">REVISIÓN DE GABINETE. EL OFICIO DE OBSERVACIONES EMITIDO DENTRO DE DICHO PROCEDIMIENTO DEBE CUMPLIR CON LAS GARANTÍAS DE FUNDAMENTACIÓN Y MOTIVACIÓN. </w:t>
      </w:r>
      <w:r w:rsidRPr="00264502">
        <w:rPr>
          <w:rFonts w:ascii="Arial Narrow" w:hAnsi="Arial Narrow" w:cs="Arial"/>
          <w:color w:val="000000"/>
        </w:rPr>
        <w:t>Esta Suprema Corte de Justicia de la Nación ha establecido que acorde con el artículo 16 de la Constitución Política de los Estados Unidos Mexicanos, los actos de molestia deben estar fundados y motivados. Por tanto, el oficio de observaciones emitido en términos del artículo 48 del Código Fiscal de la Federación, al tener ese carácter, debe cumplir con las garantías de fundamentación y motivación, pues causa una afectación en la esfera jurídica del contribuyente o responsable solidario al que se dirige, ya que lo vincula a desvirtuar los hechos en aquél consignados, o bien, a corregir totalmente su situación fiscal conforme a lo en él asentado, a efecto de que la autoridad no emita la resolución en que determine créditos fiscales a su cargo. Además, si bien es cierto que es criterio reiterado de este Alto Tribunal que en materia tributaria la garantía de audiencia no necesariamente debe ser previa al acto privativo, también lo es que el citado artículo 48 prevé la oportunidad para el particular de desvirtuar lo señalado en el oficio de observaciones, previamente a la emisión de la resolución determinante de créditos fiscales, con el objeto de que ésta ni siquiera llegue a emitirse, oportunidad que sólo puede ser eficaz si se le dan a conocer los motivos y fundamentos con base en los cuales la autoridad fiscal basa su afirmación de que existieron hechos u omisiones.</w:t>
      </w:r>
    </w:p>
    <w:p w:rsidR="00544EC4" w:rsidRPr="00264502" w:rsidRDefault="00544EC4" w:rsidP="00544EC4">
      <w:pPr>
        <w:jc w:val="both"/>
        <w:rPr>
          <w:rFonts w:ascii="Arial Narrow" w:hAnsi="Arial Narrow" w:cs="Arial"/>
          <w:color w:val="000000"/>
        </w:rPr>
      </w:pPr>
    </w:p>
    <w:p w:rsidR="00544EC4" w:rsidRPr="00264502" w:rsidRDefault="00544EC4" w:rsidP="00544EC4">
      <w:pPr>
        <w:jc w:val="both"/>
        <w:rPr>
          <w:rFonts w:ascii="Arial Narrow" w:hAnsi="Arial Narrow" w:cs="Arial"/>
          <w:color w:val="000000"/>
        </w:rPr>
      </w:pPr>
      <w:r w:rsidRPr="00264502">
        <w:rPr>
          <w:rFonts w:ascii="Arial Narrow" w:hAnsi="Arial Narrow" w:cs="Arial"/>
          <w:b/>
          <w:color w:val="000000"/>
          <w:u w:val="single"/>
        </w:rPr>
        <w:t>Contradicción de tesis 104/2010</w:t>
      </w:r>
      <w:r w:rsidRPr="00264502">
        <w:rPr>
          <w:rFonts w:ascii="Arial Narrow" w:hAnsi="Arial Narrow" w:cs="Arial"/>
          <w:color w:val="000000"/>
        </w:rPr>
        <w:t>.- Entre las sustentadas por los Tribunales Colegiados Primero, Segundo y Tercero, todos en Materia Administrativa del Sexto Circuito y el Primer Tribunal Colegiado del Vigésimo Séptimo Circuito.- 12 de enero de 2011.- Cinco votos.- Ponente: Luis María Aguilar Morales.- Secretaria: Tania María Herrera Ríos.</w:t>
      </w:r>
    </w:p>
    <w:p w:rsidR="00544EC4" w:rsidRPr="00264502" w:rsidRDefault="00544EC4" w:rsidP="00544EC4">
      <w:pPr>
        <w:jc w:val="both"/>
        <w:rPr>
          <w:rFonts w:ascii="Arial" w:hAnsi="Arial" w:cs="Arial"/>
          <w:color w:val="000000"/>
        </w:rPr>
      </w:pPr>
    </w:p>
    <w:p w:rsidR="00544EC4" w:rsidRDefault="00544EC4" w:rsidP="00544EC4"/>
    <w:p w:rsidR="00544EC4" w:rsidRPr="00693C27" w:rsidRDefault="00A027E4" w:rsidP="00544EC4">
      <w:pPr>
        <w:jc w:val="both"/>
        <w:rPr>
          <w:rFonts w:ascii="Berlin Sans FB Demi" w:hAnsi="Berlin Sans FB Demi" w:cs="Arial"/>
          <w:b/>
          <w:color w:val="C00000"/>
          <w:sz w:val="36"/>
        </w:rPr>
      </w:pPr>
      <w:r>
        <w:rPr>
          <w:rFonts w:ascii="Berlin Sans FB Demi" w:hAnsi="Berlin Sans FB Demi" w:cs="Arial"/>
          <w:b/>
          <w:color w:val="C00000"/>
          <w:sz w:val="36"/>
        </w:rPr>
        <w:t>16</w:t>
      </w:r>
      <w:r w:rsidR="00544EC4">
        <w:rPr>
          <w:rFonts w:ascii="Berlin Sans FB Demi" w:hAnsi="Berlin Sans FB Demi" w:cs="Arial"/>
          <w:b/>
          <w:color w:val="C00000"/>
          <w:sz w:val="36"/>
        </w:rPr>
        <w:t>.- Competencia juridica de Sub Delegados del IMSS</w:t>
      </w:r>
    </w:p>
    <w:p w:rsidR="00544EC4" w:rsidRPr="00693C27" w:rsidRDefault="00544EC4" w:rsidP="00544EC4">
      <w:pPr>
        <w:rPr>
          <w:rFonts w:ascii="Arial Narrow" w:hAnsi="Arial Narrow"/>
        </w:rPr>
      </w:pPr>
    </w:p>
    <w:p w:rsidR="00544EC4" w:rsidRDefault="00544EC4" w:rsidP="00544EC4">
      <w:pPr>
        <w:rPr>
          <w:rFonts w:ascii="Arial Narrow" w:hAnsi="Arial Narrow" w:cs="Arial"/>
          <w:b/>
          <w:color w:val="000000"/>
        </w:rPr>
      </w:pPr>
      <w:r w:rsidRPr="00593C88">
        <w:rPr>
          <w:rFonts w:ascii="Arial Narrow" w:hAnsi="Arial Narrow" w:cs="Arial"/>
          <w:b/>
          <w:color w:val="000000"/>
        </w:rPr>
        <w:t>2a./J. 35/2011 (10a.)</w:t>
      </w:r>
    </w:p>
    <w:p w:rsidR="00A027E4" w:rsidRPr="00593C88" w:rsidRDefault="00A027E4" w:rsidP="00544EC4">
      <w:pPr>
        <w:rPr>
          <w:rFonts w:ascii="Arial Narrow" w:hAnsi="Arial Narrow" w:cs="Arial"/>
          <w:b/>
          <w:color w:val="000000"/>
        </w:rPr>
      </w:pPr>
    </w:p>
    <w:p w:rsidR="00A027E4" w:rsidRDefault="00544EC4" w:rsidP="00544EC4">
      <w:pPr>
        <w:jc w:val="both"/>
        <w:rPr>
          <w:rFonts w:ascii="Arial Narrow" w:hAnsi="Arial Narrow" w:cs="Arial"/>
          <w:b/>
          <w:color w:val="000000"/>
        </w:rPr>
      </w:pPr>
      <w:r w:rsidRPr="00593C88">
        <w:rPr>
          <w:rFonts w:ascii="Arial Narrow" w:hAnsi="Arial Narrow" w:cs="Arial"/>
          <w:b/>
          <w:color w:val="000000"/>
        </w:rPr>
        <w:t xml:space="preserve">INSTITUTO MEXICANO DEL SEGURO SOCIAL. PARA FUNDAR LA COMPETENCIA MATERIAL DE SUS SUBDELEGADOS PARA EMITIR CÉDULAS DE LIQUIDACIÓN DE CUOTAS OBRERO PATRONALES, ES </w:t>
      </w:r>
      <w:r w:rsidRPr="00593C88">
        <w:rPr>
          <w:rFonts w:ascii="Arial Narrow" w:hAnsi="Arial Narrow" w:cs="Arial"/>
          <w:b/>
          <w:color w:val="000000"/>
        </w:rPr>
        <w:lastRenderedPageBreak/>
        <w:t xml:space="preserve">SUFICIENTE CITAR LAS DISPOSICIONES DEL REGLAMENTO INTERIOR DE DICHO ORGANISMO DESCENTRALIZADO. </w:t>
      </w:r>
    </w:p>
    <w:p w:rsidR="00A027E4" w:rsidRDefault="00A027E4" w:rsidP="00544EC4">
      <w:pPr>
        <w:jc w:val="both"/>
        <w:rPr>
          <w:rFonts w:ascii="Arial Narrow" w:hAnsi="Arial Narrow" w:cs="Arial"/>
          <w:b/>
          <w:color w:val="000000"/>
        </w:rPr>
      </w:pPr>
    </w:p>
    <w:p w:rsidR="00544EC4" w:rsidRDefault="00544EC4" w:rsidP="00544EC4">
      <w:pPr>
        <w:jc w:val="both"/>
        <w:rPr>
          <w:rFonts w:ascii="Arial Narrow" w:hAnsi="Arial Narrow" w:cs="Arial"/>
          <w:color w:val="000000"/>
        </w:rPr>
      </w:pPr>
      <w:r w:rsidRPr="00593C88">
        <w:rPr>
          <w:rFonts w:ascii="Arial Narrow" w:hAnsi="Arial Narrow" w:cs="Arial"/>
          <w:color w:val="000000"/>
        </w:rPr>
        <w:t>De la interpretación de los artículos 251 y 251 A de la Ley del Seguro Social, 150 y 155 del Reglamento Interior del Instituto Mexicano del Seguro Social se infiere que, para fundar correctamente la competencia material de los Subdelegados del Instituto para emitir cédulas de liquidación de cuotas obrero patronales, es suficiente citar las disposiciones del mencionado Reglamento que prevén dicha atribución, resultando innecesaria la invocación del citado artículo 251 A, ya que éste no regula un tipo de competencia, pues tal situación el propio precepto la delega en el referido Reglamento Interior.</w:t>
      </w:r>
    </w:p>
    <w:p w:rsidR="00A027E4" w:rsidRPr="00593C88" w:rsidRDefault="00A027E4" w:rsidP="00544EC4">
      <w:pPr>
        <w:jc w:val="both"/>
        <w:rPr>
          <w:rFonts w:ascii="Arial Narrow" w:hAnsi="Arial Narrow" w:cs="Arial"/>
          <w:color w:val="000000"/>
        </w:rPr>
      </w:pPr>
    </w:p>
    <w:p w:rsidR="00544EC4" w:rsidRPr="00593C88" w:rsidRDefault="00544EC4" w:rsidP="00544EC4">
      <w:pPr>
        <w:jc w:val="both"/>
        <w:rPr>
          <w:rFonts w:ascii="Arial Narrow" w:hAnsi="Arial Narrow" w:cs="Arial"/>
          <w:color w:val="000000"/>
        </w:rPr>
      </w:pPr>
      <w:r w:rsidRPr="00264502">
        <w:rPr>
          <w:rFonts w:ascii="Arial Narrow" w:hAnsi="Arial Narrow" w:cs="Arial"/>
          <w:b/>
          <w:color w:val="000000"/>
          <w:u w:val="single"/>
        </w:rPr>
        <w:t>Contradicción de tesis 372/2011</w:t>
      </w:r>
      <w:r w:rsidRPr="00593C88">
        <w:rPr>
          <w:rFonts w:ascii="Arial Narrow" w:hAnsi="Arial Narrow" w:cs="Arial"/>
          <w:color w:val="000000"/>
        </w:rPr>
        <w:t>.- Entre las sustentadas por el Cuarto Tribunal Colegiado en Materia Administrativa del Tercer Circuito y el Segundo Tribunal Colegiado de Circuito del Centro Auxiliar de la Cuarta Región, con residencia en Xalapa, Veracruz.- 9 de noviembre de 2011.- Cinco votos.- Ponente: Luis María Aguilar Morales.- Secretario: Aurelio Damián Magaña.</w:t>
      </w:r>
    </w:p>
    <w:p w:rsidR="00544EC4" w:rsidRDefault="00544EC4" w:rsidP="00544EC4">
      <w:pPr>
        <w:rPr>
          <w:rFonts w:ascii="Arial Narrow" w:hAnsi="Arial Narrow"/>
          <w:b/>
          <w:bCs/>
          <w:lang w:eastAsia="es-ES"/>
        </w:rPr>
      </w:pPr>
    </w:p>
    <w:p w:rsidR="00544EC4" w:rsidRDefault="00544EC4" w:rsidP="00544EC4">
      <w:pPr>
        <w:jc w:val="both"/>
        <w:rPr>
          <w:rFonts w:ascii="Arial Narrow" w:hAnsi="Arial Narrow"/>
          <w:b/>
          <w:bCs/>
          <w:lang w:eastAsia="es-ES"/>
        </w:rPr>
      </w:pPr>
    </w:p>
    <w:p w:rsidR="00544EC4" w:rsidRPr="00693C27" w:rsidRDefault="00A027E4" w:rsidP="00544EC4">
      <w:pPr>
        <w:jc w:val="both"/>
        <w:rPr>
          <w:rFonts w:ascii="Berlin Sans FB Demi" w:hAnsi="Berlin Sans FB Demi" w:cs="Arial"/>
          <w:b/>
          <w:color w:val="C00000"/>
          <w:sz w:val="36"/>
        </w:rPr>
      </w:pPr>
      <w:r>
        <w:rPr>
          <w:rFonts w:ascii="Berlin Sans FB Demi" w:hAnsi="Berlin Sans FB Demi" w:cs="Arial"/>
          <w:b/>
          <w:color w:val="C00000"/>
          <w:sz w:val="36"/>
        </w:rPr>
        <w:t>17</w:t>
      </w:r>
      <w:r w:rsidR="00544EC4">
        <w:rPr>
          <w:rFonts w:ascii="Berlin Sans FB Demi" w:hAnsi="Berlin Sans FB Demi" w:cs="Arial"/>
          <w:b/>
          <w:color w:val="C00000"/>
          <w:sz w:val="36"/>
        </w:rPr>
        <w:t>.- Notificaciones – negativa a firmarlas</w:t>
      </w:r>
    </w:p>
    <w:p w:rsidR="00544EC4" w:rsidRDefault="00544EC4" w:rsidP="00544EC4">
      <w:pPr>
        <w:rPr>
          <w:rFonts w:ascii="Arial Narrow" w:hAnsi="Arial Narrow"/>
          <w:lang w:eastAsia="es-ES"/>
        </w:rPr>
      </w:pPr>
    </w:p>
    <w:p w:rsidR="00544EC4" w:rsidRPr="00A027E4" w:rsidRDefault="00544EC4" w:rsidP="00544EC4">
      <w:pPr>
        <w:rPr>
          <w:rFonts w:ascii="Arial Narrow" w:hAnsi="Arial Narrow"/>
          <w:color w:val="000000"/>
          <w:lang w:val="es-ES" w:eastAsia="es-ES"/>
        </w:rPr>
      </w:pPr>
      <w:r w:rsidRPr="00A027E4">
        <w:rPr>
          <w:rFonts w:ascii="Arial Narrow" w:hAnsi="Arial Narrow"/>
          <w:b/>
          <w:bCs/>
          <w:color w:val="000000"/>
          <w:lang w:val="es-ES" w:eastAsia="es-ES"/>
        </w:rPr>
        <w:t>Registro No.</w:t>
      </w:r>
      <w:r w:rsidRPr="00A027E4">
        <w:rPr>
          <w:rFonts w:ascii="Arial Narrow" w:hAnsi="Arial Narrow"/>
          <w:color w:val="000000"/>
          <w:lang w:val="es-ES" w:eastAsia="es-ES"/>
        </w:rPr>
        <w:t>162075</w:t>
      </w:r>
    </w:p>
    <w:p w:rsidR="00544EC4" w:rsidRPr="00A027E4" w:rsidRDefault="00544EC4" w:rsidP="00544EC4">
      <w:pPr>
        <w:rPr>
          <w:rFonts w:ascii="Arial Narrow" w:hAnsi="Arial Narrow"/>
          <w:color w:val="000000"/>
          <w:lang w:val="es-ES" w:eastAsia="es-ES"/>
        </w:rPr>
      </w:pPr>
      <w:r w:rsidRPr="00A027E4">
        <w:rPr>
          <w:rFonts w:ascii="Arial Narrow" w:hAnsi="Arial Narrow"/>
          <w:b/>
          <w:bCs/>
          <w:color w:val="000000"/>
          <w:lang w:val="es-ES" w:eastAsia="es-ES"/>
        </w:rPr>
        <w:t>Localización:</w:t>
      </w:r>
      <w:r w:rsidRPr="00A027E4">
        <w:rPr>
          <w:rFonts w:ascii="Arial Narrow" w:hAnsi="Arial Narrow"/>
          <w:color w:val="000000"/>
          <w:lang w:val="es-ES" w:eastAsia="es-ES"/>
        </w:rPr>
        <w:br/>
        <w:t>Novena Época</w:t>
      </w:r>
      <w:r w:rsidRPr="00A027E4">
        <w:rPr>
          <w:rFonts w:ascii="Arial Narrow" w:hAnsi="Arial Narrow"/>
          <w:color w:val="000000"/>
          <w:lang w:val="es-ES" w:eastAsia="es-ES"/>
        </w:rPr>
        <w:br/>
        <w:t>Instancia: Primera Sala</w:t>
      </w:r>
      <w:r w:rsidRPr="00A027E4">
        <w:rPr>
          <w:rFonts w:ascii="Arial Narrow" w:hAnsi="Arial Narrow"/>
          <w:color w:val="000000"/>
          <w:lang w:val="es-ES" w:eastAsia="es-ES"/>
        </w:rPr>
        <w:br/>
        <w:t>Fuente: Semanario Judicial de la Federación y su Gaceta</w:t>
      </w:r>
      <w:r w:rsidRPr="00A027E4">
        <w:rPr>
          <w:rFonts w:ascii="Arial Narrow" w:hAnsi="Arial Narrow"/>
          <w:color w:val="000000"/>
          <w:lang w:val="es-ES" w:eastAsia="es-ES"/>
        </w:rPr>
        <w:br/>
        <w:t xml:space="preserve">XXXIII, </w:t>
      </w:r>
      <w:r w:rsidRPr="00A027E4">
        <w:rPr>
          <w:rFonts w:ascii="Arial Narrow" w:hAnsi="Arial Narrow"/>
          <w:b/>
          <w:bCs/>
          <w:lang w:val="es-ES" w:eastAsia="es-ES"/>
        </w:rPr>
        <w:t>Mayo de 2011</w:t>
      </w:r>
      <w:r w:rsidRPr="00A027E4">
        <w:rPr>
          <w:rFonts w:ascii="Arial Narrow" w:hAnsi="Arial Narrow"/>
          <w:lang w:val="es-ES" w:eastAsia="es-ES"/>
        </w:rPr>
        <w:br/>
      </w:r>
      <w:r w:rsidRPr="00A027E4">
        <w:rPr>
          <w:rFonts w:ascii="Arial Narrow" w:hAnsi="Arial Narrow"/>
          <w:color w:val="000000"/>
          <w:lang w:val="es-ES" w:eastAsia="es-ES"/>
        </w:rPr>
        <w:t>Página: 24</w:t>
      </w:r>
      <w:r w:rsidRPr="00A027E4">
        <w:rPr>
          <w:rFonts w:ascii="Arial Narrow" w:hAnsi="Arial Narrow"/>
          <w:color w:val="000000"/>
          <w:lang w:val="es-ES" w:eastAsia="es-ES"/>
        </w:rPr>
        <w:br/>
        <w:t>Tesis: 1a./J. 39/2011</w:t>
      </w:r>
      <w:r w:rsidRPr="00A027E4">
        <w:rPr>
          <w:rFonts w:ascii="Arial Narrow" w:hAnsi="Arial Narrow"/>
          <w:color w:val="000000"/>
          <w:lang w:val="es-ES" w:eastAsia="es-ES"/>
        </w:rPr>
        <w:br/>
        <w:t>Jurisprudencia</w:t>
      </w:r>
      <w:r w:rsidRPr="00A027E4">
        <w:rPr>
          <w:rFonts w:ascii="Arial Narrow" w:hAnsi="Arial Narrow"/>
          <w:color w:val="000000"/>
          <w:lang w:val="es-ES" w:eastAsia="es-ES"/>
        </w:rPr>
        <w:br/>
        <w:t>Materia(s): Civil</w:t>
      </w:r>
    </w:p>
    <w:p w:rsidR="00544EC4" w:rsidRPr="00A027E4" w:rsidRDefault="00544EC4" w:rsidP="00544EC4">
      <w:pPr>
        <w:spacing w:before="100" w:beforeAutospacing="1" w:after="100" w:afterAutospacing="1"/>
        <w:jc w:val="both"/>
        <w:rPr>
          <w:rFonts w:ascii="Arial Narrow" w:hAnsi="Arial Narrow"/>
          <w:color w:val="000000"/>
          <w:lang w:val="es-ES" w:eastAsia="es-ES"/>
        </w:rPr>
      </w:pPr>
      <w:r w:rsidRPr="00A027E4">
        <w:rPr>
          <w:rFonts w:ascii="Arial Narrow" w:hAnsi="Arial Narrow"/>
          <w:b/>
          <w:bCs/>
          <w:color w:val="000000"/>
          <w:lang w:val="es-ES" w:eastAsia="es-ES"/>
        </w:rPr>
        <w:t>NOTIFICACIÓN. CUANDO EL NOTIFICADO SE NIEGA A FIRMAR EL ACTA DE LA DILIGENCIA RESPECTIVA, BASTA QUE EL ACTUARIO ASIENTE LA CAUSA, MOTIVO O RAZÓN DE TAL CIRCUNSTANCIA, EMPLEANDO CUALQUIER EXPRESIÓN GRAMATICAL.</w:t>
      </w:r>
      <w:r w:rsidRPr="00A027E4">
        <w:rPr>
          <w:rFonts w:ascii="Arial Narrow" w:hAnsi="Arial Narrow"/>
          <w:color w:val="000000"/>
          <w:lang w:val="es-ES" w:eastAsia="es-ES"/>
        </w:rPr>
        <w:t xml:space="preserve"> </w:t>
      </w:r>
    </w:p>
    <w:p w:rsidR="00544EC4" w:rsidRPr="00A027E4" w:rsidRDefault="00544EC4" w:rsidP="00544EC4">
      <w:pPr>
        <w:spacing w:before="100" w:beforeAutospacing="1" w:after="100" w:afterAutospacing="1"/>
        <w:jc w:val="both"/>
        <w:rPr>
          <w:rFonts w:ascii="Arial Narrow" w:hAnsi="Arial Narrow"/>
          <w:color w:val="000000"/>
          <w:lang w:val="es-ES" w:eastAsia="es-ES"/>
        </w:rPr>
      </w:pPr>
      <w:r w:rsidRPr="00A027E4">
        <w:rPr>
          <w:rFonts w:ascii="Arial Narrow" w:hAnsi="Arial Narrow"/>
          <w:color w:val="000000"/>
          <w:lang w:val="es-ES" w:eastAsia="es-ES"/>
        </w:rPr>
        <w:t xml:space="preserve">La notificación, en especial el emplazamiento, debe cumplir con ciertas formalidades, pues las actuaciones públicas deben probar su legalidad por sí mismas, lo que obliga a que dicha diligencia se ajuste a los lineamientos legales, como el único medio de que su eficacia se encuentre asegurada y surta todos sus efectos, además de que salvaguarda la garantía de seguridad jurídica del particular, al asegurar que se entere de la incoación de un proceso en su contra. Por ello, las normas que regulan tal institución ponen énfasis en que deben firmar las personas a las que se les practica, en caso contrario, el servidor público judicial debe especificar si ocurrió porque no supo, no quiso o no pudo firmar, lo que implica que debe realizar una evaluación general del acto </w:t>
      </w:r>
      <w:proofErr w:type="spellStart"/>
      <w:r w:rsidRPr="00A027E4">
        <w:rPr>
          <w:rFonts w:ascii="Arial Narrow" w:hAnsi="Arial Narrow"/>
          <w:color w:val="000000"/>
          <w:lang w:val="es-ES" w:eastAsia="es-ES"/>
        </w:rPr>
        <w:t>notificatorio</w:t>
      </w:r>
      <w:proofErr w:type="spellEnd"/>
      <w:r w:rsidRPr="00A027E4">
        <w:rPr>
          <w:rFonts w:ascii="Arial Narrow" w:hAnsi="Arial Narrow"/>
          <w:color w:val="000000"/>
          <w:lang w:val="es-ES" w:eastAsia="es-ES"/>
        </w:rPr>
        <w:t xml:space="preserve"> para determinar si quedó cumplido o no dicho fin. Por tanto, para que la notificación sea válida cuando el notificado no quiere, no sabe o no puede firmar el acta correspondiente, el </w:t>
      </w:r>
      <w:r w:rsidRPr="00A027E4">
        <w:rPr>
          <w:rFonts w:ascii="Arial Narrow" w:hAnsi="Arial Narrow"/>
          <w:color w:val="000000"/>
          <w:lang w:val="es-ES" w:eastAsia="es-ES"/>
        </w:rPr>
        <w:lastRenderedPageBreak/>
        <w:t>actuario debe asentar en ésta la causa, motivo o razón de tal circunstancia, empleando cualquier expresión gramatical, con la condición de que sea clara para que quien se imponga de dicha actuación tenga pleno conocimiento del porqué no firmó el interesado, sin requerir de un formulismo sacramental como "no supo", "no pudo" o "no quiso", pues la circunstancia de que sólo firma el actuario y no la persona notificada "porque no lo creyó necesario" significa que el interesado no quiso firmar y explica el motivo.</w:t>
      </w:r>
    </w:p>
    <w:p w:rsidR="00544EC4" w:rsidRPr="00A027E4" w:rsidRDefault="00544EC4" w:rsidP="00544EC4">
      <w:pPr>
        <w:spacing w:before="100" w:beforeAutospacing="1" w:after="100" w:afterAutospacing="1"/>
        <w:jc w:val="both"/>
        <w:rPr>
          <w:rFonts w:ascii="Arial Narrow" w:hAnsi="Arial Narrow"/>
        </w:rPr>
      </w:pPr>
      <w:r w:rsidRPr="00A027E4">
        <w:rPr>
          <w:rFonts w:ascii="Arial Narrow" w:hAnsi="Arial Narrow"/>
          <w:b/>
          <w:color w:val="000000"/>
          <w:u w:val="single"/>
          <w:lang w:val="es-ES" w:eastAsia="es-ES"/>
        </w:rPr>
        <w:t>Contradicción de tesis 338/2010</w:t>
      </w:r>
      <w:r w:rsidRPr="00A027E4">
        <w:rPr>
          <w:rFonts w:ascii="Arial Narrow" w:hAnsi="Arial Narrow"/>
          <w:color w:val="000000"/>
          <w:lang w:val="es-ES" w:eastAsia="es-ES"/>
        </w:rPr>
        <w:t xml:space="preserve">. Entre las sustentadas por los Tribunales Colegiados Primero y Segundo, ambos en Materia Civil del Sexto Circuito. 16 de marzo de 2011. Cinco votos. Ponente: Guillermo I. Ortiz </w:t>
      </w:r>
      <w:proofErr w:type="spellStart"/>
      <w:r w:rsidRPr="00A027E4">
        <w:rPr>
          <w:rFonts w:ascii="Arial Narrow" w:hAnsi="Arial Narrow"/>
          <w:color w:val="000000"/>
          <w:lang w:val="es-ES" w:eastAsia="es-ES"/>
        </w:rPr>
        <w:t>Mayagoitia</w:t>
      </w:r>
      <w:proofErr w:type="spellEnd"/>
      <w:r w:rsidRPr="00A027E4">
        <w:rPr>
          <w:rFonts w:ascii="Arial Narrow" w:hAnsi="Arial Narrow"/>
          <w:color w:val="000000"/>
          <w:lang w:val="es-ES" w:eastAsia="es-ES"/>
        </w:rPr>
        <w:t>. Secretario: Juan Carlos Zamora Tejeda.</w:t>
      </w:r>
      <w:r w:rsidRPr="00A027E4">
        <w:rPr>
          <w:rFonts w:ascii="Arial Narrow" w:hAnsi="Arial Narrow"/>
          <w:color w:val="000000"/>
          <w:lang w:val="es-ES" w:eastAsia="es-ES"/>
        </w:rPr>
        <w:br/>
      </w:r>
      <w:r w:rsidRPr="00A027E4">
        <w:rPr>
          <w:rFonts w:ascii="Arial Narrow" w:hAnsi="Arial Narrow"/>
          <w:color w:val="000000"/>
          <w:lang w:val="es-ES" w:eastAsia="es-ES"/>
        </w:rPr>
        <w:br/>
      </w:r>
      <w:r w:rsidRPr="00A027E4">
        <w:rPr>
          <w:rFonts w:ascii="Arial Narrow" w:hAnsi="Arial Narrow"/>
          <w:b/>
          <w:color w:val="000000"/>
          <w:u w:val="single"/>
          <w:lang w:val="es-ES" w:eastAsia="es-ES"/>
        </w:rPr>
        <w:t>Tesis de jurisprudencia 39/2011</w:t>
      </w:r>
      <w:r w:rsidRPr="00A027E4">
        <w:rPr>
          <w:rFonts w:ascii="Arial Narrow" w:hAnsi="Arial Narrow"/>
          <w:color w:val="000000"/>
          <w:lang w:val="es-ES" w:eastAsia="es-ES"/>
        </w:rPr>
        <w:t>. Aprobada por la Primera Sala de este Alto Tribunal, en sesión de fecha veintitrés de marzo de dos mil once</w:t>
      </w:r>
    </w:p>
    <w:p w:rsidR="00544EC4" w:rsidRDefault="00544EC4" w:rsidP="00544EC4">
      <w:pPr>
        <w:ind w:hanging="142"/>
        <w:jc w:val="both"/>
      </w:pPr>
    </w:p>
    <w:p w:rsidR="00544EC4" w:rsidRPr="00693C27" w:rsidRDefault="00A027E4" w:rsidP="00544EC4">
      <w:pPr>
        <w:jc w:val="both"/>
        <w:rPr>
          <w:rFonts w:ascii="Berlin Sans FB Demi" w:hAnsi="Berlin Sans FB Demi" w:cs="Arial"/>
          <w:b/>
          <w:color w:val="C00000"/>
          <w:sz w:val="36"/>
        </w:rPr>
      </w:pPr>
      <w:r>
        <w:rPr>
          <w:rFonts w:ascii="Berlin Sans FB Demi" w:hAnsi="Berlin Sans FB Demi" w:cs="Arial"/>
          <w:b/>
          <w:color w:val="C00000"/>
          <w:sz w:val="36"/>
        </w:rPr>
        <w:t>18</w:t>
      </w:r>
      <w:r w:rsidR="00544EC4">
        <w:rPr>
          <w:rFonts w:ascii="Berlin Sans FB Demi" w:hAnsi="Berlin Sans FB Demi" w:cs="Arial"/>
          <w:b/>
          <w:color w:val="C00000"/>
          <w:sz w:val="36"/>
        </w:rPr>
        <w:t>.- Bienes inembargables</w:t>
      </w:r>
    </w:p>
    <w:p w:rsidR="00544EC4" w:rsidRDefault="00544EC4" w:rsidP="00544EC4">
      <w:pPr>
        <w:rPr>
          <w:rFonts w:ascii="Arial Narrow" w:hAnsi="Arial Narrow"/>
        </w:rPr>
      </w:pPr>
    </w:p>
    <w:p w:rsidR="00544EC4" w:rsidRDefault="00544EC4" w:rsidP="00544EC4">
      <w:pPr>
        <w:rPr>
          <w:rFonts w:ascii="Arial Narrow" w:hAnsi="Arial Narrow"/>
        </w:rPr>
      </w:pPr>
    </w:p>
    <w:p w:rsidR="00544EC4" w:rsidRPr="00D16A1F" w:rsidRDefault="00544EC4" w:rsidP="00544EC4">
      <w:pPr>
        <w:rPr>
          <w:rFonts w:ascii="Arial Narrow" w:hAnsi="Arial Narrow"/>
        </w:rPr>
      </w:pPr>
      <w:r w:rsidRPr="00D16A1F">
        <w:rPr>
          <w:rFonts w:ascii="Arial Narrow" w:hAnsi="Arial Narrow"/>
        </w:rPr>
        <w:t>Registro No. 161000</w:t>
      </w:r>
    </w:p>
    <w:p w:rsidR="00544EC4" w:rsidRDefault="00544EC4" w:rsidP="00544EC4">
      <w:pPr>
        <w:rPr>
          <w:rFonts w:ascii="Arial Narrow" w:hAnsi="Arial Narrow"/>
        </w:rPr>
      </w:pPr>
      <w:r w:rsidRPr="00D16A1F">
        <w:rPr>
          <w:rFonts w:ascii="Arial Narrow" w:hAnsi="Arial Narrow"/>
        </w:rPr>
        <w:t>Localización: Novena Época</w:t>
      </w:r>
    </w:p>
    <w:p w:rsidR="00544EC4" w:rsidRDefault="00544EC4" w:rsidP="00544EC4">
      <w:pPr>
        <w:rPr>
          <w:rFonts w:ascii="Arial Narrow" w:hAnsi="Arial Narrow"/>
        </w:rPr>
      </w:pPr>
      <w:r w:rsidRPr="00D16A1F">
        <w:rPr>
          <w:rFonts w:ascii="Arial Narrow" w:hAnsi="Arial Narrow"/>
        </w:rPr>
        <w:t xml:space="preserve">Instancia: Segunda Sala </w:t>
      </w:r>
    </w:p>
    <w:p w:rsidR="00544EC4" w:rsidRDefault="00544EC4" w:rsidP="00544EC4">
      <w:pPr>
        <w:rPr>
          <w:rFonts w:ascii="Arial Narrow" w:hAnsi="Arial Narrow"/>
        </w:rPr>
      </w:pPr>
      <w:r w:rsidRPr="00D16A1F">
        <w:rPr>
          <w:rFonts w:ascii="Arial Narrow" w:hAnsi="Arial Narrow"/>
        </w:rPr>
        <w:t>Fuente: Semanario Judicial de l</w:t>
      </w:r>
      <w:r>
        <w:rPr>
          <w:rFonts w:ascii="Arial Narrow" w:hAnsi="Arial Narrow"/>
        </w:rPr>
        <w:t>a Federación y su Gaceta XXXIV</w:t>
      </w:r>
    </w:p>
    <w:p w:rsidR="00544EC4" w:rsidRDefault="00544EC4" w:rsidP="00544EC4">
      <w:pPr>
        <w:rPr>
          <w:rFonts w:ascii="Arial Narrow" w:hAnsi="Arial Narrow"/>
        </w:rPr>
      </w:pPr>
      <w:r w:rsidRPr="00D16A1F">
        <w:rPr>
          <w:rFonts w:ascii="Arial Narrow" w:hAnsi="Arial Narrow"/>
        </w:rPr>
        <w:t xml:space="preserve">Septiembre de 2011 </w:t>
      </w:r>
    </w:p>
    <w:p w:rsidR="00544EC4" w:rsidRDefault="00544EC4" w:rsidP="00544EC4">
      <w:pPr>
        <w:rPr>
          <w:rFonts w:ascii="Arial Narrow" w:hAnsi="Arial Narrow"/>
        </w:rPr>
      </w:pPr>
      <w:r w:rsidRPr="00D16A1F">
        <w:rPr>
          <w:rFonts w:ascii="Arial Narrow" w:hAnsi="Arial Narrow"/>
        </w:rPr>
        <w:t xml:space="preserve">Página: 1477 </w:t>
      </w:r>
    </w:p>
    <w:p w:rsidR="00544EC4" w:rsidRDefault="00544EC4" w:rsidP="00544EC4">
      <w:pPr>
        <w:rPr>
          <w:rFonts w:ascii="Arial Narrow" w:hAnsi="Arial Narrow"/>
        </w:rPr>
      </w:pPr>
      <w:r w:rsidRPr="00D16A1F">
        <w:rPr>
          <w:rFonts w:ascii="Arial Narrow" w:hAnsi="Arial Narrow"/>
        </w:rPr>
        <w:t xml:space="preserve">Tesis: 2a./J. 133/2011 </w:t>
      </w:r>
    </w:p>
    <w:p w:rsidR="00544EC4" w:rsidRDefault="00544EC4" w:rsidP="00544EC4">
      <w:pPr>
        <w:rPr>
          <w:rFonts w:ascii="Arial Narrow" w:hAnsi="Arial Narrow"/>
        </w:rPr>
      </w:pPr>
      <w:r w:rsidRPr="00D16A1F">
        <w:rPr>
          <w:rFonts w:ascii="Arial Narrow" w:hAnsi="Arial Narrow"/>
        </w:rPr>
        <w:t>Jurisprudencia</w:t>
      </w:r>
    </w:p>
    <w:p w:rsidR="00544EC4" w:rsidRPr="00D16A1F" w:rsidRDefault="00544EC4" w:rsidP="00544EC4">
      <w:pPr>
        <w:rPr>
          <w:rFonts w:ascii="Arial Narrow" w:hAnsi="Arial Narrow"/>
        </w:rPr>
      </w:pPr>
      <w:r w:rsidRPr="00D16A1F">
        <w:rPr>
          <w:rFonts w:ascii="Arial Narrow" w:hAnsi="Arial Narrow"/>
        </w:rPr>
        <w:t xml:space="preserve"> Materia(s): Administrativa</w:t>
      </w:r>
    </w:p>
    <w:p w:rsidR="00544EC4" w:rsidRDefault="00544EC4" w:rsidP="00544EC4">
      <w:pPr>
        <w:rPr>
          <w:rFonts w:ascii="Arial Narrow" w:hAnsi="Arial Narrow"/>
        </w:rPr>
      </w:pPr>
    </w:p>
    <w:p w:rsidR="00544EC4" w:rsidRDefault="00544EC4" w:rsidP="00544EC4">
      <w:pPr>
        <w:jc w:val="both"/>
        <w:rPr>
          <w:rFonts w:ascii="Arial Narrow" w:hAnsi="Arial Narrow"/>
          <w:b/>
        </w:rPr>
      </w:pPr>
      <w:r w:rsidRPr="00D16A1F">
        <w:rPr>
          <w:rFonts w:ascii="Arial Narrow" w:hAnsi="Arial Narrow"/>
          <w:b/>
        </w:rPr>
        <w:t>REVOCACIÓN. PARA QUE SE ACTUALICE LA EXCEPCIONAL PROCEDENCIA DEL RECURSO PREVISTA EN EL ARTÍCULO 127, PRIMER PÁRRAFO, DEL CÓDIGO FISCAL DE LA FEDERACIÓN, RELATIVA A LOS</w:t>
      </w:r>
      <w:r>
        <w:rPr>
          <w:rFonts w:ascii="Arial Narrow" w:hAnsi="Arial Narrow"/>
          <w:b/>
        </w:rPr>
        <w:t xml:space="preserve"> </w:t>
      </w:r>
      <w:r w:rsidRPr="00D16A1F">
        <w:rPr>
          <w:rFonts w:ascii="Arial Narrow" w:hAnsi="Arial Narrow"/>
          <w:b/>
        </w:rPr>
        <w:t>"ACTOS DE EJECUCIÓN SOBRE BIENES LEGALMENTE INEMBARGABLES", DEBE MATERIALIZARSE EL EMBARGO.</w:t>
      </w:r>
    </w:p>
    <w:p w:rsidR="00A027E4" w:rsidRPr="00D16A1F" w:rsidRDefault="00A027E4" w:rsidP="00544EC4">
      <w:pPr>
        <w:jc w:val="both"/>
        <w:rPr>
          <w:rFonts w:ascii="Arial Narrow" w:hAnsi="Arial Narrow"/>
          <w:b/>
        </w:rPr>
      </w:pPr>
    </w:p>
    <w:p w:rsidR="00544EC4" w:rsidRDefault="00544EC4" w:rsidP="00544EC4">
      <w:pPr>
        <w:jc w:val="both"/>
        <w:rPr>
          <w:rFonts w:ascii="Arial Narrow" w:hAnsi="Arial Narrow"/>
        </w:rPr>
      </w:pPr>
      <w:r w:rsidRPr="00D16A1F">
        <w:rPr>
          <w:rFonts w:ascii="Arial Narrow" w:hAnsi="Arial Narrow"/>
        </w:rPr>
        <w:t xml:space="preserve">Conforme al citado precepto, cuando el recurso de revocación se interponga porque el procedimiento administrativo de ejecución no se ajustó a la ley, las violaciones cometidas antes del remate sólo podrán hacerse valer ante la autoridad recaudadora hasta el momento de la publicación de la convocatoria de remate y dentro de los 10 días siguientes a la fecha de publicación de la citada convocatoria, previendo dos supuestos de excepción a la regla: 1. Cuando se trate de "actos de ejecución sobre bienes legalmente inembargables"; y, 2. Cuando se esté en presencia de "actos de imposible reparación material". Ahora bien, de la evolución histórica del artículo 127 del Código Fiscal de la Federación y de su teleología se advierte que, para que se actualice la primera excepción, es indispensable que se haya materializado el embargo de un bien legalmente inembargable, en la medida en que el legislador estableció dicha salvedad por el evidente daño que podría ocasionarse al contribuyente cuando se afecten bienes que conforme a la ley están exceptuados de someterse </w:t>
      </w:r>
      <w:r w:rsidRPr="00D16A1F">
        <w:rPr>
          <w:rFonts w:ascii="Arial Narrow" w:hAnsi="Arial Narrow"/>
        </w:rPr>
        <w:lastRenderedPageBreak/>
        <w:t>a ese gravamen dirigido a cubrir créditos fiscales, por lo que la materia de estudio en el recurso se circunscribirá a dilucidar si el bien embargado efectivamente no puede ser materia de gravamen y, por tanto, el afectado puede hacer valer el medio de impugnación a partir del día hábil siguiente al de la diligencia de embargo, sin que sea óbice que el propio precepto establezca que también puede presentarse el recurso a partir del día hábil siguiente al en que surta efectos la notificación del requerimiento de pago, pues originalmente esta disposición fue concebida cuando estaba en vigor el recurso de oposición al procedimiento administrativo de ejecución, para los casos en que se pretendiera impugnar la notificación de un acto administrativo.</w:t>
      </w:r>
    </w:p>
    <w:p w:rsidR="00A027E4" w:rsidRPr="00D16A1F" w:rsidRDefault="00A027E4" w:rsidP="00544EC4">
      <w:pPr>
        <w:jc w:val="both"/>
        <w:rPr>
          <w:rFonts w:ascii="Arial Narrow" w:hAnsi="Arial Narrow"/>
        </w:rPr>
      </w:pPr>
    </w:p>
    <w:p w:rsidR="00544EC4" w:rsidRDefault="00544EC4" w:rsidP="00544EC4">
      <w:pPr>
        <w:jc w:val="both"/>
        <w:rPr>
          <w:rFonts w:ascii="Arial Narrow" w:hAnsi="Arial Narrow"/>
        </w:rPr>
      </w:pPr>
      <w:r w:rsidRPr="00264502">
        <w:rPr>
          <w:rFonts w:ascii="Arial Narrow" w:hAnsi="Arial Narrow"/>
          <w:b/>
          <w:u w:val="single"/>
        </w:rPr>
        <w:t>Contradicción de tesis 217/2011</w:t>
      </w:r>
      <w:r w:rsidRPr="00D16A1F">
        <w:rPr>
          <w:rFonts w:ascii="Arial Narrow" w:hAnsi="Arial Narrow"/>
        </w:rPr>
        <w:t>. Entre las sustentadas por los Tribunales Colegiados Primero y Séptimo, ambos en Materia Administrativa del Primer Circuito. 6 de julio de 2011. Mayoría de cuatro votos. Disidente: Luis María Aguilar Morales. Ponente: José Fernando Franco González Salas. Secretario: Gabriel Regis López.</w:t>
      </w:r>
    </w:p>
    <w:p w:rsidR="00A027E4" w:rsidRPr="00D16A1F" w:rsidRDefault="00A027E4" w:rsidP="00544EC4">
      <w:pPr>
        <w:jc w:val="both"/>
        <w:rPr>
          <w:rFonts w:ascii="Arial Narrow" w:hAnsi="Arial Narrow"/>
        </w:rPr>
      </w:pPr>
    </w:p>
    <w:p w:rsidR="00544EC4" w:rsidRPr="00D16A1F" w:rsidRDefault="00544EC4" w:rsidP="00544EC4">
      <w:pPr>
        <w:jc w:val="both"/>
        <w:rPr>
          <w:rFonts w:ascii="Arial Narrow" w:hAnsi="Arial Narrow"/>
        </w:rPr>
      </w:pPr>
      <w:r w:rsidRPr="00264502">
        <w:rPr>
          <w:rFonts w:ascii="Arial Narrow" w:hAnsi="Arial Narrow"/>
          <w:b/>
          <w:u w:val="single"/>
        </w:rPr>
        <w:t>Tesis de jurisprudencia 133/2011</w:t>
      </w:r>
      <w:r w:rsidRPr="00D16A1F">
        <w:rPr>
          <w:rFonts w:ascii="Arial Narrow" w:hAnsi="Arial Narrow"/>
        </w:rPr>
        <w:t>. Aprobada por la Segunda Sala de este Alto Tribunal, en sesión privada del trece de julio de dos mil once.</w:t>
      </w:r>
    </w:p>
    <w:p w:rsidR="00544EC4" w:rsidRPr="00693C27" w:rsidRDefault="00544EC4" w:rsidP="00544EC4">
      <w:pPr>
        <w:jc w:val="both"/>
        <w:rPr>
          <w:rFonts w:ascii="Arial Narrow" w:hAnsi="Arial Narrow"/>
        </w:rPr>
      </w:pPr>
    </w:p>
    <w:p w:rsidR="00A027E4" w:rsidRDefault="00A027E4" w:rsidP="00544EC4">
      <w:pPr>
        <w:jc w:val="both"/>
        <w:rPr>
          <w:rFonts w:ascii="Berlin Sans FB Demi" w:hAnsi="Berlin Sans FB Demi" w:cs="Arial"/>
          <w:b/>
          <w:color w:val="C00000"/>
          <w:sz w:val="36"/>
        </w:rPr>
      </w:pPr>
    </w:p>
    <w:p w:rsidR="00544EC4" w:rsidRPr="00693C27" w:rsidRDefault="00A027E4" w:rsidP="00544EC4">
      <w:pPr>
        <w:jc w:val="both"/>
        <w:rPr>
          <w:rFonts w:ascii="Berlin Sans FB Demi" w:hAnsi="Berlin Sans FB Demi" w:cs="Arial"/>
          <w:b/>
          <w:color w:val="C00000"/>
          <w:sz w:val="36"/>
        </w:rPr>
      </w:pPr>
      <w:r>
        <w:rPr>
          <w:rFonts w:ascii="Berlin Sans FB Demi" w:hAnsi="Berlin Sans FB Demi" w:cs="Arial"/>
          <w:b/>
          <w:color w:val="C00000"/>
          <w:sz w:val="36"/>
        </w:rPr>
        <w:t>19</w:t>
      </w:r>
      <w:r w:rsidR="00544EC4">
        <w:rPr>
          <w:rFonts w:ascii="Berlin Sans FB Demi" w:hAnsi="Berlin Sans FB Demi" w:cs="Arial"/>
          <w:b/>
          <w:color w:val="C00000"/>
          <w:sz w:val="36"/>
        </w:rPr>
        <w:t>.- Orden de visita – nombre completo del contribuyente</w:t>
      </w:r>
    </w:p>
    <w:p w:rsidR="00544EC4" w:rsidRDefault="00544EC4" w:rsidP="00544EC4">
      <w:pPr>
        <w:rPr>
          <w:rFonts w:ascii="Arial Narrow" w:hAnsi="Arial Narrow" w:cs="Tahoma"/>
          <w:b/>
          <w:bCs/>
          <w:lang w:eastAsia="es-ES"/>
        </w:rPr>
      </w:pPr>
    </w:p>
    <w:p w:rsidR="00544EC4" w:rsidRDefault="00544EC4" w:rsidP="00544EC4">
      <w:pPr>
        <w:rPr>
          <w:rFonts w:ascii="Arial Narrow" w:hAnsi="Arial Narrow" w:cs="Tahoma"/>
          <w:b/>
          <w:bCs/>
          <w:lang w:eastAsia="es-ES"/>
        </w:rPr>
      </w:pPr>
    </w:p>
    <w:p w:rsidR="00544EC4" w:rsidRPr="00264502" w:rsidRDefault="00544EC4" w:rsidP="00544EC4">
      <w:pPr>
        <w:rPr>
          <w:rFonts w:ascii="Arial Narrow" w:hAnsi="Arial Narrow" w:cs="Tahoma"/>
          <w:lang w:eastAsia="es-ES"/>
        </w:rPr>
      </w:pPr>
      <w:r w:rsidRPr="00264502">
        <w:rPr>
          <w:rFonts w:ascii="Arial Narrow" w:hAnsi="Arial Narrow" w:cs="Tahoma"/>
          <w:b/>
          <w:bCs/>
          <w:lang w:eastAsia="es-ES"/>
        </w:rPr>
        <w:t xml:space="preserve">Registro No. </w:t>
      </w:r>
      <w:r w:rsidRPr="00264502">
        <w:rPr>
          <w:rFonts w:ascii="Arial Narrow" w:hAnsi="Arial Narrow" w:cs="Tahoma"/>
          <w:lang w:eastAsia="es-ES"/>
        </w:rPr>
        <w:t>162446</w:t>
      </w:r>
    </w:p>
    <w:p w:rsidR="00544EC4" w:rsidRPr="00264502" w:rsidRDefault="00544EC4" w:rsidP="00544EC4">
      <w:pPr>
        <w:rPr>
          <w:rFonts w:ascii="Arial Narrow" w:hAnsi="Arial Narrow" w:cs="Tahoma"/>
          <w:lang w:eastAsia="es-ES"/>
        </w:rPr>
      </w:pPr>
      <w:r w:rsidRPr="00264502">
        <w:rPr>
          <w:rFonts w:ascii="Arial Narrow" w:hAnsi="Arial Narrow" w:cs="Tahoma"/>
          <w:b/>
          <w:bCs/>
          <w:lang w:eastAsia="es-ES"/>
        </w:rPr>
        <w:t>Localización:</w:t>
      </w:r>
      <w:r w:rsidRPr="00264502">
        <w:rPr>
          <w:rFonts w:ascii="Arial Narrow" w:hAnsi="Arial Narrow" w:cs="Tahoma"/>
          <w:lang w:eastAsia="es-ES"/>
        </w:rPr>
        <w:t xml:space="preserve"> </w:t>
      </w:r>
      <w:r w:rsidRPr="00264502">
        <w:rPr>
          <w:rFonts w:ascii="Arial Narrow" w:hAnsi="Arial Narrow" w:cs="Tahoma"/>
          <w:lang w:eastAsia="es-ES"/>
        </w:rPr>
        <w:br/>
        <w:t>Novena Época</w:t>
      </w:r>
      <w:r w:rsidRPr="00264502">
        <w:rPr>
          <w:rFonts w:ascii="Arial Narrow" w:hAnsi="Arial Narrow" w:cs="Tahoma"/>
          <w:lang w:eastAsia="es-ES"/>
        </w:rPr>
        <w:br/>
        <w:t>Instancia: Tribunales Colegiados de Circuito</w:t>
      </w:r>
      <w:r w:rsidRPr="00264502">
        <w:rPr>
          <w:rFonts w:ascii="Arial Narrow" w:hAnsi="Arial Narrow" w:cs="Tahoma"/>
          <w:lang w:eastAsia="es-ES"/>
        </w:rPr>
        <w:br/>
        <w:t>Fuente: Semanario Judicial de la Federación y su Gaceta</w:t>
      </w:r>
      <w:r w:rsidRPr="00264502">
        <w:rPr>
          <w:rFonts w:ascii="Arial Narrow" w:hAnsi="Arial Narrow" w:cs="Tahoma"/>
          <w:lang w:eastAsia="es-ES"/>
        </w:rPr>
        <w:br/>
        <w:t xml:space="preserve">XXXIII, </w:t>
      </w:r>
      <w:r w:rsidRPr="00264502">
        <w:rPr>
          <w:rFonts w:ascii="Arial Narrow" w:hAnsi="Arial Narrow" w:cs="Tahoma"/>
          <w:b/>
          <w:bCs/>
          <w:lang w:eastAsia="es-ES"/>
        </w:rPr>
        <w:t>Marzo de 2011</w:t>
      </w:r>
      <w:r w:rsidRPr="00264502">
        <w:rPr>
          <w:rFonts w:ascii="Arial Narrow" w:hAnsi="Arial Narrow" w:cs="Tahoma"/>
          <w:lang w:eastAsia="es-ES"/>
        </w:rPr>
        <w:br/>
        <w:t>Página: 2249</w:t>
      </w:r>
      <w:r w:rsidRPr="00264502">
        <w:rPr>
          <w:rFonts w:ascii="Arial Narrow" w:hAnsi="Arial Narrow" w:cs="Tahoma"/>
          <w:lang w:eastAsia="es-ES"/>
        </w:rPr>
        <w:br/>
        <w:t>Tesis: XVI.1o.A.T. J/22</w:t>
      </w:r>
      <w:r w:rsidRPr="00264502">
        <w:rPr>
          <w:rFonts w:ascii="Arial Narrow" w:hAnsi="Arial Narrow" w:cs="Tahoma"/>
          <w:lang w:eastAsia="es-ES"/>
        </w:rPr>
        <w:br/>
      </w:r>
      <w:r w:rsidRPr="00264502">
        <w:rPr>
          <w:rFonts w:ascii="Arial Narrow" w:hAnsi="Arial Narrow" w:cs="Tahoma"/>
          <w:b/>
          <w:u w:val="single"/>
          <w:lang w:eastAsia="es-ES"/>
        </w:rPr>
        <w:t>Jurisprudencia</w:t>
      </w:r>
      <w:r w:rsidRPr="00264502">
        <w:rPr>
          <w:rFonts w:ascii="Arial Narrow" w:hAnsi="Arial Narrow" w:cs="Tahoma"/>
          <w:lang w:eastAsia="es-ES"/>
        </w:rPr>
        <w:br/>
        <w:t>Materia(s): Administrativa</w:t>
      </w:r>
    </w:p>
    <w:p w:rsidR="00544EC4" w:rsidRPr="00264502" w:rsidRDefault="00544EC4" w:rsidP="00544EC4">
      <w:pPr>
        <w:spacing w:before="100" w:beforeAutospacing="1" w:after="100" w:afterAutospacing="1"/>
        <w:jc w:val="both"/>
        <w:rPr>
          <w:rFonts w:ascii="Arial Narrow" w:hAnsi="Arial Narrow"/>
        </w:rPr>
      </w:pPr>
      <w:r w:rsidRPr="00264502">
        <w:rPr>
          <w:rFonts w:ascii="Arial Narrow" w:hAnsi="Arial Narrow" w:cs="Tahoma"/>
          <w:b/>
          <w:bCs/>
          <w:lang w:eastAsia="es-ES"/>
        </w:rPr>
        <w:t>VISITA DOMICILIARIA. LA ORDEN RELATIVA EMITIDA CON FUNDAMENTO EN LOS ARTÍCULOS 42, FRACCIÓN V Y 49 DEL CÓDIGO FISCAL DE LA FEDERACIÓN, DEBE CONTENER EL NOMBRE DEL CONTRIBUYENTE VISITADO.</w:t>
      </w:r>
      <w:r w:rsidRPr="00264502">
        <w:rPr>
          <w:rFonts w:ascii="Arial Narrow" w:hAnsi="Arial Narrow"/>
          <w:lang w:eastAsia="es-ES"/>
        </w:rPr>
        <w:t xml:space="preserve"> </w:t>
      </w:r>
    </w:p>
    <w:p w:rsidR="00544EC4" w:rsidRDefault="00544EC4" w:rsidP="00544EC4">
      <w:pPr>
        <w:spacing w:before="100" w:beforeAutospacing="1" w:after="100" w:afterAutospacing="1"/>
        <w:jc w:val="both"/>
        <w:rPr>
          <w:rFonts w:ascii="Arial Narrow" w:hAnsi="Arial Narrow" w:cs="Tahoma"/>
          <w:lang w:eastAsia="es-ES"/>
        </w:rPr>
      </w:pPr>
      <w:r w:rsidRPr="00264502">
        <w:rPr>
          <w:rFonts w:ascii="Arial Narrow" w:hAnsi="Arial Narrow" w:cs="Tahoma"/>
          <w:lang w:eastAsia="es-ES"/>
        </w:rPr>
        <w:t xml:space="preserve">Cuando una visita domiciliaria tenga como finalidad verificar la documentación o los comprobantes que acrediten la legal propiedad, posesión, estancia, tenencia o importación de mercancías y se fundamente en los artículos 42, fracción V y 49 del Código Fiscal de la Federación, a fin de respetar la inviolabilidad del domicilio, como un derecho subjetivo del </w:t>
      </w:r>
      <w:proofErr w:type="spellStart"/>
      <w:r w:rsidRPr="00264502">
        <w:rPr>
          <w:rFonts w:ascii="Arial Narrow" w:hAnsi="Arial Narrow" w:cs="Tahoma"/>
          <w:lang w:eastAsia="es-ES"/>
        </w:rPr>
        <w:t>gobernado</w:t>
      </w:r>
      <w:proofErr w:type="spellEnd"/>
      <w:r w:rsidRPr="00264502">
        <w:rPr>
          <w:rFonts w:ascii="Arial Narrow" w:hAnsi="Arial Narrow" w:cs="Tahoma"/>
          <w:lang w:eastAsia="es-ES"/>
        </w:rPr>
        <w:t xml:space="preserve">, la orden relativa debe contener el nombre del contribuyente visitado, acorde con lo sostenido por la Segunda Sala de la Suprema Corte de Justicia de la Nación en la jurisprudencia 2a./J. 57/99, publicada en el Semanario Judicial de la Federación y su Gaceta, Novena Época, Tomo IX, junio de 1999, página 343, de rubro: "VISITA DOMICILIARIA. LA ORDEN EMITIDA PARA </w:t>
      </w:r>
      <w:r w:rsidRPr="00264502">
        <w:rPr>
          <w:rFonts w:ascii="Arial Narrow" w:hAnsi="Arial Narrow" w:cs="Tahoma"/>
          <w:lang w:eastAsia="es-ES"/>
        </w:rPr>
        <w:lastRenderedPageBreak/>
        <w:t>VERIFICAR EL CUMPLIMIENTO DE LAS OBLIGACIONES EN RELACIÓN CON LA EXPEDICIÓN DE COMPROBANTES FISCALES, DEBE PRECISAR EL PERIODO SUJETO A REVISIÓN.", en el sentido de que las órdenes de visita a que se refiere, han de satisfacer el requisito inserto en el artículo 38, fracción V, del señalado código, así como los que establece el artículo 16 de la Constitución Política de los Estados Unidos Mexicanos para los cateos, entre otros, el nombre del sujeto pasivo visitado, sin que sea aplicable el precepto 43, fracción III, en relación con el 44, ambos del indicado código, que eximen de esa exigencia cuando se trate de órdenes de verificación en materia de comercio exterior, al tratarse de un procedimiento distinto al inicialmente descrito.</w:t>
      </w:r>
    </w:p>
    <w:p w:rsidR="00544EC4" w:rsidRPr="00264502" w:rsidRDefault="00544EC4" w:rsidP="00544EC4">
      <w:pPr>
        <w:spacing w:before="100" w:beforeAutospacing="1" w:after="100" w:afterAutospacing="1"/>
        <w:jc w:val="both"/>
        <w:rPr>
          <w:rFonts w:ascii="Arial Narrow" w:hAnsi="Arial Narrow" w:cs="Tahoma"/>
          <w:lang w:eastAsia="es-ES"/>
        </w:rPr>
      </w:pPr>
      <w:r>
        <w:rPr>
          <w:rFonts w:ascii="Arial Narrow" w:hAnsi="Arial Narrow" w:cs="Tahoma"/>
          <w:lang w:eastAsia="es-ES"/>
        </w:rPr>
        <w:br/>
      </w:r>
      <w:r w:rsidRPr="00264502">
        <w:rPr>
          <w:rFonts w:ascii="Arial Narrow" w:hAnsi="Arial Narrow" w:cs="Tahoma"/>
          <w:lang w:eastAsia="es-ES"/>
        </w:rPr>
        <w:t>PRIMER TRIBUNAL COLEGIADO EN MATERIAS ADMINISTRATIVA Y DE TRABAJO DEL DÉCIMO SEXTO CIRCUITO.</w:t>
      </w:r>
    </w:p>
    <w:p w:rsidR="00544EC4" w:rsidRPr="00264502" w:rsidRDefault="00544EC4" w:rsidP="00544EC4">
      <w:pPr>
        <w:spacing w:before="100" w:beforeAutospacing="1" w:after="100" w:afterAutospacing="1"/>
        <w:jc w:val="both"/>
        <w:rPr>
          <w:rFonts w:ascii="Arial Narrow" w:hAnsi="Arial Narrow" w:cs="Tahoma"/>
          <w:lang w:eastAsia="es-ES"/>
        </w:rPr>
      </w:pPr>
      <w:r w:rsidRPr="00264502">
        <w:rPr>
          <w:rFonts w:ascii="Arial Narrow" w:hAnsi="Arial Narrow" w:cs="Tahoma"/>
          <w:lang w:eastAsia="es-ES"/>
        </w:rPr>
        <w:t>Amparo en revisión 146/2009. Director General de Verificación al Comercio Exterior, dependiente de la Secretaría de Finanzas y Administración del Gobierno del Estado de Guanajuato. 3 de julio de 2009. Unanimidad de votos. Ponente: Jesús de Ávila Huerta. Secretario: Ricardo Ortega Serrano.</w:t>
      </w:r>
    </w:p>
    <w:p w:rsidR="00544EC4" w:rsidRPr="00264502" w:rsidRDefault="00544EC4" w:rsidP="00544EC4">
      <w:pPr>
        <w:spacing w:before="100" w:beforeAutospacing="1" w:after="100" w:afterAutospacing="1"/>
        <w:jc w:val="both"/>
        <w:rPr>
          <w:rFonts w:ascii="Arial Narrow" w:hAnsi="Arial Narrow" w:cs="Tahoma"/>
          <w:lang w:eastAsia="es-ES"/>
        </w:rPr>
      </w:pPr>
      <w:r w:rsidRPr="00264502">
        <w:rPr>
          <w:rFonts w:ascii="Arial Narrow" w:hAnsi="Arial Narrow" w:cs="Tahoma"/>
          <w:lang w:eastAsia="es-ES"/>
        </w:rPr>
        <w:t xml:space="preserve">Amparo en revisión 108/2010. Administrador Local de Auditoría Fiscal de Celaya, Guanajuato y otros. 7 de mayo de 2010. Unanimidad de votos. Ponente: José Juan </w:t>
      </w:r>
      <w:proofErr w:type="spellStart"/>
      <w:r w:rsidRPr="00264502">
        <w:rPr>
          <w:rFonts w:ascii="Arial Narrow" w:hAnsi="Arial Narrow" w:cs="Tahoma"/>
          <w:lang w:eastAsia="es-ES"/>
        </w:rPr>
        <w:t>Múzquiz</w:t>
      </w:r>
      <w:proofErr w:type="spellEnd"/>
      <w:r w:rsidRPr="00264502">
        <w:rPr>
          <w:rFonts w:ascii="Arial Narrow" w:hAnsi="Arial Narrow" w:cs="Tahoma"/>
          <w:lang w:eastAsia="es-ES"/>
        </w:rPr>
        <w:t xml:space="preserve"> Gómez, secretario de tribunal autorizado para desempeñar las funciones de Magistrado, en términos de la fracción XXII del artículo 81 de la Ley Orgánica del Poder Judicial de la Federación. Secretario: Rolando Zúñiga </w:t>
      </w:r>
      <w:proofErr w:type="spellStart"/>
      <w:r w:rsidRPr="00264502">
        <w:rPr>
          <w:rFonts w:ascii="Arial Narrow" w:hAnsi="Arial Narrow" w:cs="Tahoma"/>
          <w:lang w:eastAsia="es-ES"/>
        </w:rPr>
        <w:t>Zúñiga</w:t>
      </w:r>
      <w:proofErr w:type="spellEnd"/>
      <w:r w:rsidRPr="00264502">
        <w:rPr>
          <w:rFonts w:ascii="Arial Narrow" w:hAnsi="Arial Narrow" w:cs="Tahoma"/>
          <w:lang w:eastAsia="es-ES"/>
        </w:rPr>
        <w:t>.</w:t>
      </w:r>
    </w:p>
    <w:p w:rsidR="00544EC4" w:rsidRDefault="00544EC4" w:rsidP="00544EC4">
      <w:pPr>
        <w:spacing w:before="100" w:beforeAutospacing="1" w:after="100" w:afterAutospacing="1"/>
        <w:jc w:val="both"/>
        <w:rPr>
          <w:rFonts w:ascii="Arial Narrow" w:hAnsi="Arial Narrow" w:cs="Tahoma"/>
          <w:lang w:eastAsia="es-ES"/>
        </w:rPr>
      </w:pPr>
      <w:r w:rsidRPr="00264502">
        <w:rPr>
          <w:rFonts w:ascii="Arial Narrow" w:hAnsi="Arial Narrow" w:cs="Tahoma"/>
          <w:lang w:eastAsia="es-ES"/>
        </w:rPr>
        <w:t xml:space="preserve">Amparo en revisión 100/2010. Administrador Local de Auditoría Fiscal de Celaya, Guanajuato y otros. 14 de mayo de 2010. Unanimidad de votos. Ponente: Víctor Manuel Estrada </w:t>
      </w:r>
      <w:proofErr w:type="spellStart"/>
      <w:r w:rsidRPr="00264502">
        <w:rPr>
          <w:rFonts w:ascii="Arial Narrow" w:hAnsi="Arial Narrow" w:cs="Tahoma"/>
          <w:lang w:eastAsia="es-ES"/>
        </w:rPr>
        <w:t>Jungo</w:t>
      </w:r>
      <w:proofErr w:type="spellEnd"/>
      <w:r w:rsidRPr="00264502">
        <w:rPr>
          <w:rFonts w:ascii="Arial Narrow" w:hAnsi="Arial Narrow" w:cs="Tahoma"/>
          <w:lang w:eastAsia="es-ES"/>
        </w:rPr>
        <w:t>. Secretario: Ramón Lozano Bernal.</w:t>
      </w:r>
      <w:r w:rsidRPr="00264502">
        <w:rPr>
          <w:rFonts w:ascii="Arial Narrow" w:hAnsi="Arial Narrow" w:cs="Tahoma"/>
          <w:lang w:eastAsia="es-ES"/>
        </w:rPr>
        <w:br/>
      </w:r>
      <w:r w:rsidRPr="00264502">
        <w:rPr>
          <w:rFonts w:ascii="Arial Narrow" w:hAnsi="Arial Narrow" w:cs="Tahoma"/>
          <w:lang w:eastAsia="es-ES"/>
        </w:rPr>
        <w:br/>
        <w:t>Amparo en revisión 319/2010. Director de lo Contencioso de la Procuraduría Fiscal del Estado de Guanajuato, de la Secretaría de Finanzas y Administración, delegado del Director General de Verificación al Comercio Exterior y otros. 15 de octubre de 2010. Unanimidad de votos. Ponente: Jesús de Ávila Huerta. Secretario: Rogelio Zamora Menchaca.</w:t>
      </w:r>
    </w:p>
    <w:p w:rsidR="00544EC4" w:rsidRPr="00264502" w:rsidRDefault="00544EC4" w:rsidP="00544EC4">
      <w:pPr>
        <w:spacing w:before="100" w:beforeAutospacing="1" w:after="100" w:afterAutospacing="1"/>
        <w:jc w:val="both"/>
        <w:rPr>
          <w:rFonts w:ascii="Arial Narrow" w:hAnsi="Arial Narrow" w:cs="Tahoma"/>
          <w:lang w:eastAsia="es-ES"/>
        </w:rPr>
      </w:pPr>
      <w:r w:rsidRPr="00264502">
        <w:rPr>
          <w:rFonts w:ascii="Arial Narrow" w:hAnsi="Arial Narrow" w:cs="Tahoma"/>
          <w:lang w:eastAsia="es-ES"/>
        </w:rPr>
        <w:t>Amparo en revisión 373/2010. Director General de Verificación al Comercio Exterior de la Procuraduría Fiscal del Estado de Guanajuato y otros. 10 de noviembre de 2010. Unanimidad de votos. Ponente: Jesús de Ávila Huerta. Secretario: Salvador Ortiz Conde</w:t>
      </w:r>
    </w:p>
    <w:p w:rsidR="00A027E4" w:rsidRDefault="00A027E4" w:rsidP="00A027E4">
      <w:pPr>
        <w:jc w:val="both"/>
        <w:rPr>
          <w:rFonts w:ascii="Berlin Sans FB Demi" w:hAnsi="Berlin Sans FB Demi" w:cs="Arial"/>
          <w:b/>
          <w:color w:val="C00000"/>
          <w:sz w:val="36"/>
        </w:rPr>
      </w:pPr>
      <w:r>
        <w:rPr>
          <w:rFonts w:ascii="Berlin Sans FB Demi" w:hAnsi="Berlin Sans FB Demi" w:cs="Arial"/>
          <w:b/>
          <w:color w:val="C00000"/>
          <w:sz w:val="36"/>
        </w:rPr>
        <w:t>20.- IETU en Asociaciones Civiles</w:t>
      </w:r>
    </w:p>
    <w:p w:rsidR="00A027E4" w:rsidRPr="00A027E4" w:rsidRDefault="00A027E4" w:rsidP="00A027E4">
      <w:pPr>
        <w:spacing w:before="100" w:beforeAutospacing="1" w:after="100" w:afterAutospacing="1"/>
        <w:rPr>
          <w:rFonts w:ascii="Arial Narrow" w:hAnsi="Arial Narrow" w:cs="Arial"/>
          <w:b/>
          <w:color w:val="000000"/>
        </w:rPr>
      </w:pPr>
      <w:r w:rsidRPr="00A027E4">
        <w:rPr>
          <w:rFonts w:ascii="Arial Narrow" w:hAnsi="Arial Narrow" w:cs="Arial"/>
          <w:b/>
          <w:color w:val="000000"/>
        </w:rPr>
        <w:t>2a./J. 48/2011 (10a.)</w:t>
      </w:r>
    </w:p>
    <w:p w:rsidR="00A027E4" w:rsidRDefault="00A027E4" w:rsidP="00A027E4">
      <w:pPr>
        <w:spacing w:before="100" w:beforeAutospacing="1" w:after="100" w:afterAutospacing="1"/>
        <w:jc w:val="both"/>
        <w:rPr>
          <w:rFonts w:ascii="Arial Narrow" w:hAnsi="Arial Narrow" w:cs="Arial"/>
          <w:b/>
          <w:color w:val="000000"/>
        </w:rPr>
      </w:pPr>
      <w:r w:rsidRPr="00A027E4">
        <w:rPr>
          <w:rFonts w:ascii="Arial Narrow" w:hAnsi="Arial Narrow" w:cs="Arial"/>
          <w:b/>
          <w:color w:val="000000"/>
        </w:rPr>
        <w:t xml:space="preserve">EMPRESARIAL A TASA ÚNICA. EL ARTÍCULO 4o. FRACCIÓN II, INCISO C), DE LA LEY DEL IMPUESTO RELATIVO, NO VIOLA EL PRINCIPIO DE EQUIDAD TRIBUTARIA. </w:t>
      </w:r>
    </w:p>
    <w:p w:rsidR="00A027E4" w:rsidRPr="00A027E4" w:rsidRDefault="00A027E4" w:rsidP="00A027E4">
      <w:pPr>
        <w:spacing w:before="100" w:beforeAutospacing="1" w:after="100" w:afterAutospacing="1"/>
        <w:jc w:val="both"/>
        <w:rPr>
          <w:rFonts w:ascii="Arial Narrow" w:hAnsi="Arial Narrow" w:cs="Arial"/>
          <w:color w:val="000000"/>
        </w:rPr>
      </w:pPr>
      <w:r w:rsidRPr="00A027E4">
        <w:rPr>
          <w:rFonts w:ascii="Arial Narrow" w:hAnsi="Arial Narrow" w:cs="Arial"/>
          <w:color w:val="000000"/>
        </w:rPr>
        <w:lastRenderedPageBreak/>
        <w:t>El citado precepto, al disponer que no se pagará el impuesto empresarial a tasa única por los ingresos que no estén afectos al pago del impuesto sobre la renta que reciban las asociaciones o sociedades civiles organizadas con fines científicos, políticos, religiosos y culturales, a excepción de aquellas que proporcionen servicios con instalaciones deportivas cuando el valor de éstas represente más del 25% del valor total de las instalaciones, no viola el principio de equidad tributaria previsto en el artículo 31, fracción IV, de la Constitución Política de los Estados Unidos Mexicanos, ya que tiene una justificación objetiva en tanto que unas y otras de las asociaciones y sociedades civiles referidas no se encuentran en la misma situación, pues las que gozan del beneficio no persiguen la obtención de un lucro, sino que tienen fines verdaderamente altruistas y sus actividades son de beneficencia, a diferencia de las excluidas de la exención que, en principio, persiguen fines lucrativos y no altruistas y sus actividades no son de beneficencia, pues generalmente constituyen clubes deportivos que permiten el uso de sus instalaciones mediante el cobro de una cuota a sus miembros, de la que esperan obtener un lucro, y ni siquiera cuando estas asociaciones y sociedades civiles consignan en su escritura constitutiva que no tienen fines de lucro y que cualquier utilidad se destinará al fomento de la asociación o sociedad, podría estimarse que deben comprenderse dentro de las que se pretende beneficiar con la exención, porque se organizan con el fin de que sólo sus miembros y asociados, sus familiares y amigos, mediante el pago de aportaciones y cuotas gocen del beneficio de instalaciones deportivas a las que no tiene acceso cualquier persona. En todo caso, para que aquéllas se asimilaran a las asociaciones y sociedades exentas tendrían que ser entidades altruistas que permitieran el uso de las instalaciones deportivas sin exigir cuota alguna a cambio, esto es, deberían tener como fin beneficiar sin distingo de raza, color, sexo o clase social, a la población en general o a un sector de ella por sus particulares condiciones de necesidad. Por ello, la exclusión supera el juicio de constitucionalidad al obedecer a una finalidad legítima, y constituir el medio apto y adecuado para conducir al objetivo perseguido por el legislador sin afectar desproporcionadamente algún bien o derecho constitucionalmente protegido.</w:t>
      </w:r>
    </w:p>
    <w:p w:rsidR="00A027E4" w:rsidRPr="00A027E4" w:rsidRDefault="00A027E4" w:rsidP="00A027E4">
      <w:pPr>
        <w:spacing w:before="100" w:beforeAutospacing="1" w:after="100" w:afterAutospacing="1"/>
        <w:jc w:val="both"/>
        <w:rPr>
          <w:rFonts w:ascii="Arial Narrow" w:hAnsi="Arial Narrow" w:cs="Arial"/>
          <w:color w:val="000000"/>
        </w:rPr>
      </w:pPr>
      <w:r w:rsidRPr="00A027E4">
        <w:rPr>
          <w:rFonts w:ascii="Arial Narrow" w:hAnsi="Arial Narrow" w:cs="Arial"/>
          <w:b/>
          <w:color w:val="000000"/>
        </w:rPr>
        <w:t>Contradicción de tesis 438/2011</w:t>
      </w:r>
      <w:r w:rsidRPr="00A027E4">
        <w:rPr>
          <w:rFonts w:ascii="Arial Narrow" w:hAnsi="Arial Narrow" w:cs="Arial"/>
          <w:color w:val="000000"/>
        </w:rPr>
        <w:t xml:space="preserve">.- Entre las sustentadas por los Tribunales Colegiados de Circuito Primero y Cuarto, ambos del Centro Auxiliar de la Primera Región, con residencia en el Distrito Federal.- 30 de noviembre de 2011.- Mayoría de cuatro votos.- Disidente: Margarita Beatriz Luna Ramos.- Ponente: Sergio Salvador Aguirre Anguiano.- Secretaria: María Estela Ferrer Mac </w:t>
      </w:r>
      <w:proofErr w:type="spellStart"/>
      <w:r w:rsidRPr="00A027E4">
        <w:rPr>
          <w:rFonts w:ascii="Arial Narrow" w:hAnsi="Arial Narrow" w:cs="Arial"/>
          <w:color w:val="000000"/>
        </w:rPr>
        <w:t>Gregor</w:t>
      </w:r>
      <w:proofErr w:type="spellEnd"/>
      <w:r w:rsidRPr="00A027E4">
        <w:rPr>
          <w:rFonts w:ascii="Arial Narrow" w:hAnsi="Arial Narrow" w:cs="Arial"/>
          <w:color w:val="000000"/>
        </w:rPr>
        <w:t xml:space="preserve"> </w:t>
      </w:r>
      <w:proofErr w:type="spellStart"/>
      <w:r w:rsidRPr="00A027E4">
        <w:rPr>
          <w:rFonts w:ascii="Arial Narrow" w:hAnsi="Arial Narrow" w:cs="Arial"/>
          <w:color w:val="000000"/>
        </w:rPr>
        <w:t>Poisot</w:t>
      </w:r>
      <w:proofErr w:type="spellEnd"/>
      <w:r w:rsidRPr="00A027E4">
        <w:rPr>
          <w:rFonts w:ascii="Arial Narrow" w:hAnsi="Arial Narrow" w:cs="Arial"/>
          <w:color w:val="000000"/>
        </w:rPr>
        <w:t>.</w:t>
      </w:r>
    </w:p>
    <w:p w:rsidR="001A56CC" w:rsidRPr="00544EC4" w:rsidRDefault="00544EC4" w:rsidP="00544EC4">
      <w:pPr>
        <w:rPr>
          <w:rFonts w:ascii="Arial Narrow" w:hAnsi="Arial Narrow" w:cs="Tahoma"/>
          <w:color w:val="333333"/>
        </w:rPr>
      </w:pPr>
      <w:r w:rsidRPr="00693C27">
        <w:rPr>
          <w:rFonts w:ascii="Arial Narrow" w:hAnsi="Arial Narrow" w:cs="Tahoma"/>
          <w:vanish/>
          <w:color w:val="333333"/>
        </w:rPr>
        <w:t xml:space="preserve"> </w:t>
      </w:r>
      <w:r w:rsidRPr="00D0745F">
        <w:rPr>
          <w:rFonts w:ascii="Arial Narrow" w:hAnsi="Arial Narrow" w:cs="Tahoma"/>
          <w:vanish/>
          <w:color w:val="333333"/>
        </w:rPr>
        <w:br/>
      </w:r>
      <w:r w:rsidRPr="00D0745F">
        <w:rPr>
          <w:rFonts w:ascii="Arial Narrow" w:hAnsi="Arial Narrow" w:cs="Tahoma"/>
          <w:vanish/>
          <w:color w:val="333333"/>
        </w:rPr>
        <w:br/>
      </w:r>
      <w:r w:rsidRPr="00693C27">
        <w:rPr>
          <w:rFonts w:ascii="Arial Narrow" w:hAnsi="Arial Narrow" w:cs="Tahoma"/>
          <w:vanish/>
          <w:color w:val="333333"/>
        </w:rPr>
        <w:t>Reformas Fiscales 2012</w:t>
      </w:r>
      <w:r w:rsidRPr="00D0745F">
        <w:rPr>
          <w:rFonts w:ascii="Arial Narrow" w:hAnsi="Arial Narrow" w:cs="Tahoma"/>
          <w:vanish/>
          <w:color w:val="333333"/>
        </w:rPr>
        <w:br/>
      </w:r>
      <w:r w:rsidRPr="00693C27">
        <w:rPr>
          <w:rFonts w:ascii="Arial Narrow" w:hAnsi="Arial Narrow" w:cs="Tahoma"/>
          <w:vanish/>
          <w:color w:val="333333"/>
        </w:rPr>
        <w:t>Estrategias Fiscales de Cierre Fiscal 2011 e Inicio Fiscal 2012</w:t>
      </w:r>
      <w:r w:rsidRPr="00D0745F">
        <w:rPr>
          <w:rFonts w:ascii="Arial Narrow" w:hAnsi="Arial Narrow" w:cs="Tahoma"/>
          <w:vanish/>
          <w:color w:val="333333"/>
        </w:rPr>
        <w:br/>
      </w:r>
      <w:r w:rsidRPr="00D0745F">
        <w:rPr>
          <w:rFonts w:ascii="Arial Narrow" w:hAnsi="Arial Narrow" w:cs="Tahoma"/>
          <w:vanish/>
          <w:color w:val="333333"/>
        </w:rPr>
        <w:br/>
      </w:r>
      <w:r w:rsidRPr="00693C27">
        <w:rPr>
          <w:rFonts w:ascii="Arial Narrow" w:hAnsi="Arial Narrow" w:cs="Tahoma"/>
          <w:vanish/>
          <w:color w:val="333333"/>
        </w:rPr>
        <w:t>5 PUNTOS PARA EPC</w:t>
      </w:r>
      <w:r w:rsidRPr="00D0745F">
        <w:rPr>
          <w:rFonts w:ascii="Arial Narrow" w:hAnsi="Arial Narrow" w:cs="Tahoma"/>
          <w:vanish/>
          <w:color w:val="333333"/>
        </w:rPr>
        <w:br/>
      </w:r>
      <w:r w:rsidRPr="00693C27">
        <w:rPr>
          <w:rFonts w:ascii="Arial Narrow" w:hAnsi="Arial Narrow" w:cs="Tahoma"/>
          <w:vanish/>
          <w:color w:val="333333"/>
        </w:rPr>
        <w:t>Expositor:</w:t>
      </w:r>
      <w:r w:rsidRPr="00D0745F">
        <w:rPr>
          <w:rFonts w:ascii="Arial Narrow" w:hAnsi="Arial Narrow" w:cs="Tahoma"/>
          <w:vanish/>
          <w:color w:val="333333"/>
        </w:rPr>
        <w:br/>
      </w:r>
      <w:r w:rsidRPr="00693C27">
        <w:rPr>
          <w:rFonts w:ascii="Arial Narrow" w:hAnsi="Arial Narrow" w:cs="Tahoma"/>
          <w:vanish/>
          <w:color w:val="333333"/>
        </w:rPr>
        <w:t xml:space="preserve">CPC y MI. Jorge González Anchondo. </w:t>
      </w:r>
      <w:r w:rsidRPr="00D0745F">
        <w:rPr>
          <w:rFonts w:ascii="Arial Narrow" w:hAnsi="Arial Narrow" w:cs="Tahoma"/>
          <w:vanish/>
          <w:color w:val="333333"/>
        </w:rPr>
        <w:br/>
      </w:r>
      <w:r w:rsidRPr="00693C27">
        <w:rPr>
          <w:rFonts w:ascii="Arial Narrow" w:hAnsi="Arial Narrow" w:cs="Tahoma"/>
          <w:vanish/>
          <w:color w:val="333333"/>
        </w:rPr>
        <w:t>Especialista y Consultor Fiscal con más de 15 años de experiencia.</w:t>
      </w:r>
      <w:r w:rsidRPr="00D0745F">
        <w:rPr>
          <w:rFonts w:ascii="Arial Narrow" w:hAnsi="Arial Narrow" w:cs="Tahoma"/>
          <w:vanish/>
          <w:color w:val="333333"/>
        </w:rPr>
        <w:br/>
      </w:r>
      <w:r w:rsidRPr="00D0745F">
        <w:rPr>
          <w:rFonts w:ascii="Arial Narrow" w:hAnsi="Arial Narrow" w:cs="Tahoma"/>
          <w:vanish/>
          <w:color w:val="333333"/>
        </w:rPr>
        <w:br/>
      </w:r>
      <w:r w:rsidRPr="00693C27">
        <w:rPr>
          <w:rFonts w:ascii="Arial Narrow" w:hAnsi="Arial Narrow" w:cs="Tahoma"/>
          <w:vanish/>
          <w:color w:val="333333"/>
        </w:rPr>
        <w:t>Observar las principales y muy importantes modificaciones fiscales para el 2012, todas de uso común y muy práctico, además de ver oportunidades de planeación fiscal de cierre del ejercicio 2011 mucho antes de la Declaración Anual y de inicio fiscal 2012 para planear para todo el año los impuestos correctos y no en excesivos. Múltiples opciones, mucho mejores resultados fiscales asi como las implicaciones fiscales y legales, para tomar previsiones y realizar los ajustes entre otros temas de gran interés.</w:t>
      </w:r>
      <w:r w:rsidRPr="00D0745F">
        <w:rPr>
          <w:rFonts w:ascii="Arial Narrow" w:hAnsi="Arial Narrow" w:cs="Tahoma"/>
          <w:vanish/>
          <w:color w:val="333333"/>
        </w:rPr>
        <w:br/>
      </w:r>
      <w:r w:rsidRPr="00D0745F">
        <w:rPr>
          <w:rFonts w:ascii="Arial Narrow" w:hAnsi="Arial Narrow" w:cs="Tahoma"/>
          <w:vanish/>
          <w:color w:val="333333"/>
        </w:rPr>
        <w:br/>
      </w:r>
      <w:r w:rsidRPr="00693C27">
        <w:rPr>
          <w:rFonts w:ascii="Arial Narrow" w:hAnsi="Arial Narrow" w:cs="Tahoma"/>
          <w:vanish/>
          <w:color w:val="333333"/>
        </w:rPr>
        <w:t>Contadores Públicos, Asesores, Gerentes de Finanzas, Contralores, Auditores, Consultores, Administradores, Abogados Fiscalistas, Estudiantes, Empresarios y toda aquella persona interesada en la materia.</w:t>
      </w:r>
      <w:r w:rsidRPr="00D0745F">
        <w:rPr>
          <w:rFonts w:ascii="Arial Narrow" w:hAnsi="Arial Narrow" w:cs="Tahoma"/>
          <w:vanish/>
          <w:color w:val="333333"/>
        </w:rPr>
        <w:br/>
      </w:r>
      <w:r w:rsidRPr="00D0745F">
        <w:rPr>
          <w:rFonts w:ascii="Arial Narrow" w:hAnsi="Arial Narrow" w:cs="Tahoma"/>
          <w:vanish/>
          <w:color w:val="333333"/>
        </w:rPr>
        <w:br/>
      </w:r>
      <w:r w:rsidRPr="00693C27">
        <w:rPr>
          <w:rFonts w:ascii="Arial Narrow" w:hAnsi="Arial Narrow" w:cs="Tahoma"/>
          <w:vanish/>
          <w:color w:val="333333"/>
        </w:rPr>
        <w:t>• Estímulos fiscales en la Ley de Ingresos de la Federación</w:t>
      </w:r>
      <w:r w:rsidRPr="00D0745F">
        <w:rPr>
          <w:rFonts w:ascii="Arial Narrow" w:hAnsi="Arial Narrow" w:cs="Tahoma"/>
          <w:vanish/>
          <w:color w:val="333333"/>
        </w:rPr>
        <w:br/>
      </w:r>
      <w:r w:rsidRPr="00693C27">
        <w:rPr>
          <w:rFonts w:ascii="Arial Narrow" w:hAnsi="Arial Narrow" w:cs="Tahoma"/>
          <w:vanish/>
          <w:color w:val="333333"/>
        </w:rPr>
        <w:t>• Reformas fiscales en ISR, IETU, IDE , IEPS e IVA</w:t>
      </w:r>
      <w:r w:rsidRPr="00D0745F">
        <w:rPr>
          <w:rFonts w:ascii="Arial Narrow" w:hAnsi="Arial Narrow" w:cs="Tahoma"/>
          <w:vanish/>
          <w:color w:val="333333"/>
        </w:rPr>
        <w:br/>
      </w:r>
      <w:r w:rsidRPr="00693C27">
        <w:rPr>
          <w:rFonts w:ascii="Arial Narrow" w:hAnsi="Arial Narrow" w:cs="Tahoma"/>
          <w:vanish/>
          <w:color w:val="333333"/>
        </w:rPr>
        <w:t>• Comparativo de reformas al Código Fiscal de la Federación del 2006 al 2012</w:t>
      </w:r>
      <w:r w:rsidRPr="00D0745F">
        <w:rPr>
          <w:rFonts w:ascii="Arial Narrow" w:hAnsi="Arial Narrow" w:cs="Tahoma"/>
          <w:vanish/>
          <w:color w:val="333333"/>
        </w:rPr>
        <w:br/>
      </w:r>
      <w:r w:rsidRPr="00693C27">
        <w:rPr>
          <w:rFonts w:ascii="Arial Narrow" w:hAnsi="Arial Narrow" w:cs="Tahoma"/>
          <w:vanish/>
          <w:color w:val="333333"/>
        </w:rPr>
        <w:t>• Resolución Miscelánea Fiscal 2011 aplicable en el 2012</w:t>
      </w:r>
      <w:r w:rsidRPr="00D0745F">
        <w:rPr>
          <w:rFonts w:ascii="Arial Narrow" w:hAnsi="Arial Narrow" w:cs="Tahoma"/>
          <w:vanish/>
          <w:color w:val="333333"/>
        </w:rPr>
        <w:br/>
      </w:r>
      <w:r w:rsidRPr="00693C27">
        <w:rPr>
          <w:rFonts w:ascii="Arial Narrow" w:hAnsi="Arial Narrow" w:cs="Tahoma"/>
          <w:vanish/>
          <w:color w:val="333333"/>
        </w:rPr>
        <w:t>• Reglas de comercio exterior aplicables en el 2012</w:t>
      </w:r>
      <w:r w:rsidRPr="00D0745F">
        <w:rPr>
          <w:rFonts w:ascii="Arial Narrow" w:hAnsi="Arial Narrow" w:cs="Tahoma"/>
          <w:vanish/>
          <w:color w:val="333333"/>
        </w:rPr>
        <w:br/>
      </w:r>
      <w:r w:rsidRPr="00693C27">
        <w:rPr>
          <w:rFonts w:ascii="Arial Narrow" w:hAnsi="Arial Narrow" w:cs="Tahoma"/>
          <w:vanish/>
          <w:color w:val="333333"/>
        </w:rPr>
        <w:t>• Decretos por estímulos fiscales vigentes para el 2012</w:t>
      </w:r>
      <w:r w:rsidRPr="00D0745F">
        <w:rPr>
          <w:rFonts w:ascii="Arial Narrow" w:hAnsi="Arial Narrow" w:cs="Tahoma"/>
          <w:vanish/>
          <w:color w:val="333333"/>
        </w:rPr>
        <w:br/>
      </w:r>
      <w:r w:rsidRPr="00693C27">
        <w:rPr>
          <w:rFonts w:ascii="Arial Narrow" w:hAnsi="Arial Narrow" w:cs="Tahoma"/>
          <w:vanish/>
          <w:color w:val="333333"/>
        </w:rPr>
        <w:t>• Estrategias Fiscales de cierre fiscal 2011</w:t>
      </w:r>
      <w:r w:rsidRPr="00D0745F">
        <w:rPr>
          <w:rFonts w:ascii="Arial Narrow" w:hAnsi="Arial Narrow" w:cs="Tahoma"/>
          <w:vanish/>
          <w:color w:val="333333"/>
        </w:rPr>
        <w:br/>
      </w:r>
      <w:r w:rsidRPr="00693C27">
        <w:rPr>
          <w:rFonts w:ascii="Arial Narrow" w:hAnsi="Arial Narrow" w:cs="Tahoma"/>
          <w:vanish/>
          <w:color w:val="333333"/>
        </w:rPr>
        <w:t>• Estrategias Fiscales de inicio para el 2012</w:t>
      </w:r>
      <w:r w:rsidRPr="00D0745F">
        <w:rPr>
          <w:rFonts w:ascii="Arial Narrow" w:hAnsi="Arial Narrow" w:cs="Tahoma"/>
          <w:vanish/>
          <w:color w:val="333333"/>
        </w:rPr>
        <w:br/>
      </w:r>
      <w:r w:rsidRPr="00693C27">
        <w:rPr>
          <w:rFonts w:ascii="Arial Narrow" w:hAnsi="Arial Narrow" w:cs="Tahoma"/>
          <w:vanish/>
          <w:color w:val="333333"/>
        </w:rPr>
        <w:t>• Criterios de TCC y SCJN prácticos en el 2012</w:t>
      </w:r>
      <w:r w:rsidRPr="00D0745F">
        <w:rPr>
          <w:rFonts w:ascii="Arial Narrow" w:hAnsi="Arial Narrow" w:cs="Tahoma"/>
          <w:vanish/>
          <w:color w:val="333333"/>
        </w:rPr>
        <w:br/>
      </w:r>
      <w:r w:rsidRPr="00693C27">
        <w:rPr>
          <w:rFonts w:ascii="Arial Narrow" w:hAnsi="Arial Narrow" w:cs="Tahoma"/>
          <w:vanish/>
          <w:color w:val="333333"/>
        </w:rPr>
        <w:t>• Aspectos ilegales en multas 2011 - 2012</w:t>
      </w:r>
      <w:r w:rsidRPr="00D0745F">
        <w:rPr>
          <w:rFonts w:ascii="Arial Narrow" w:hAnsi="Arial Narrow" w:cs="Tahoma"/>
          <w:vanish/>
          <w:color w:val="333333"/>
        </w:rPr>
        <w:br/>
      </w:r>
      <w:r w:rsidRPr="00693C27">
        <w:rPr>
          <w:rFonts w:ascii="Arial Narrow" w:hAnsi="Arial Narrow" w:cs="Tahoma"/>
          <w:vanish/>
          <w:color w:val="333333"/>
        </w:rPr>
        <w:t>• Recordatorios de informes fiscales y declaraciones anuales 2011</w:t>
      </w:r>
      <w:r w:rsidRPr="00D0745F">
        <w:rPr>
          <w:rFonts w:ascii="Arial Narrow" w:hAnsi="Arial Narrow" w:cs="Tahoma"/>
          <w:vanish/>
          <w:color w:val="333333"/>
        </w:rPr>
        <w:br/>
      </w:r>
      <w:r w:rsidRPr="00693C27">
        <w:rPr>
          <w:rFonts w:ascii="Arial Narrow" w:hAnsi="Arial Narrow" w:cs="Tahoma"/>
          <w:vanish/>
          <w:color w:val="333333"/>
        </w:rPr>
        <w:t>• Usos prácticos 2012 de la Ley Federal de los Derechos del Contribuyente</w:t>
      </w:r>
      <w:r w:rsidRPr="00D0745F">
        <w:rPr>
          <w:rFonts w:ascii="Arial Narrow" w:hAnsi="Arial Narrow" w:cs="Tahoma"/>
          <w:vanish/>
          <w:color w:val="333333"/>
        </w:rPr>
        <w:br/>
      </w:r>
      <w:r w:rsidRPr="00D0745F">
        <w:rPr>
          <w:rFonts w:ascii="Arial Narrow" w:hAnsi="Arial Narrow" w:cs="Tahoma"/>
          <w:vanish/>
          <w:color w:val="333333"/>
        </w:rPr>
        <w:br/>
      </w:r>
      <w:r w:rsidRPr="00D0745F">
        <w:rPr>
          <w:rFonts w:ascii="Arial Narrow" w:hAnsi="Arial Narrow" w:cs="Tahoma"/>
          <w:vanish/>
          <w:color w:val="333333"/>
        </w:rPr>
        <w:br/>
      </w:r>
      <w:r w:rsidRPr="00693C27">
        <w:rPr>
          <w:rFonts w:ascii="Arial Narrow" w:hAnsi="Arial Narrow" w:cs="Tahoma"/>
          <w:vanish/>
          <w:color w:val="333333"/>
        </w:rPr>
        <w:t>INVERSIÓN.</w:t>
      </w:r>
      <w:r w:rsidRPr="00D0745F">
        <w:rPr>
          <w:rFonts w:ascii="Arial Narrow" w:hAnsi="Arial Narrow" w:cs="Tahoma"/>
          <w:vanish/>
          <w:color w:val="333333"/>
        </w:rPr>
        <w:br/>
      </w:r>
      <w:r w:rsidRPr="00693C27">
        <w:rPr>
          <w:rFonts w:ascii="Arial Narrow" w:hAnsi="Arial Narrow" w:cs="Tahoma"/>
          <w:vanish/>
          <w:color w:val="333333"/>
        </w:rPr>
        <w:t>Cuota Anticipada:</w:t>
      </w:r>
      <w:r w:rsidRPr="00D0745F">
        <w:rPr>
          <w:rFonts w:ascii="Arial Narrow" w:hAnsi="Arial Narrow" w:cs="Tahoma"/>
          <w:vanish/>
          <w:color w:val="333333"/>
        </w:rPr>
        <w:br/>
      </w:r>
      <w:r w:rsidRPr="00693C27">
        <w:rPr>
          <w:rFonts w:ascii="Arial Narrow" w:hAnsi="Arial Narrow" w:cs="Tahoma"/>
          <w:vanish/>
          <w:color w:val="333333"/>
        </w:rPr>
        <w:t>$1390.00 valida 4 días antes del evento</w:t>
      </w:r>
      <w:r w:rsidRPr="00D0745F">
        <w:rPr>
          <w:rFonts w:ascii="Arial Narrow" w:hAnsi="Arial Narrow" w:cs="Tahoma"/>
          <w:vanish/>
          <w:color w:val="333333"/>
        </w:rPr>
        <w:br/>
      </w:r>
      <w:r w:rsidRPr="00693C27">
        <w:rPr>
          <w:rFonts w:ascii="Arial Narrow" w:hAnsi="Arial Narrow" w:cs="Tahoma"/>
          <w:vanish/>
          <w:color w:val="333333"/>
        </w:rPr>
        <w:t>Cuota Regular:</w:t>
      </w:r>
      <w:r w:rsidRPr="00D0745F">
        <w:rPr>
          <w:rFonts w:ascii="Arial Narrow" w:hAnsi="Arial Narrow" w:cs="Tahoma"/>
          <w:vanish/>
          <w:color w:val="333333"/>
        </w:rPr>
        <w:br/>
      </w:r>
      <w:r w:rsidRPr="00693C27">
        <w:rPr>
          <w:rFonts w:ascii="Arial Narrow" w:hAnsi="Arial Narrow" w:cs="Tahoma"/>
          <w:vanish/>
          <w:color w:val="333333"/>
        </w:rPr>
        <w:t>$1590.00 en esta cuota si eres ex participante paga 2 y asiste 1 GRATIS</w:t>
      </w:r>
      <w:r w:rsidRPr="00D0745F">
        <w:rPr>
          <w:rFonts w:ascii="Arial Narrow" w:hAnsi="Arial Narrow" w:cs="Tahoma"/>
          <w:vanish/>
          <w:color w:val="333333"/>
        </w:rPr>
        <w:br/>
      </w:r>
      <w:r w:rsidRPr="00693C27">
        <w:rPr>
          <w:rFonts w:ascii="Arial Narrow" w:hAnsi="Arial Narrow" w:cs="Tahoma"/>
          <w:vanish/>
          <w:color w:val="333333"/>
        </w:rPr>
        <w:t>Socios del IMPC:</w:t>
      </w:r>
      <w:r w:rsidRPr="00D0745F">
        <w:rPr>
          <w:rFonts w:ascii="Arial Narrow" w:hAnsi="Arial Narrow" w:cs="Tahoma"/>
          <w:vanish/>
          <w:color w:val="333333"/>
        </w:rPr>
        <w:br/>
      </w:r>
      <w:r w:rsidRPr="00693C27">
        <w:rPr>
          <w:rFonts w:ascii="Arial Narrow" w:hAnsi="Arial Narrow" w:cs="Tahoma"/>
          <w:vanish/>
          <w:color w:val="333333"/>
        </w:rPr>
        <w:t>$1090.00 (Previa acreditación)</w:t>
      </w:r>
      <w:r w:rsidRPr="00D0745F">
        <w:rPr>
          <w:rFonts w:ascii="Arial Narrow" w:hAnsi="Arial Narrow" w:cs="Tahoma"/>
          <w:vanish/>
          <w:color w:val="333333"/>
        </w:rPr>
        <w:br/>
      </w:r>
      <w:r w:rsidRPr="00693C27">
        <w:rPr>
          <w:rFonts w:ascii="Arial Narrow" w:hAnsi="Arial Narrow" w:cs="Tahoma"/>
          <w:vanish/>
          <w:color w:val="333333"/>
        </w:rPr>
        <w:t xml:space="preserve">*Estos precios son más I.V.A. </w:t>
      </w:r>
      <w:r w:rsidRPr="00D0745F">
        <w:rPr>
          <w:rFonts w:ascii="Arial Narrow" w:hAnsi="Arial Narrow" w:cs="Tahoma"/>
          <w:vanish/>
          <w:color w:val="333333"/>
        </w:rPr>
        <w:br/>
      </w:r>
      <w:r w:rsidRPr="00693C27">
        <w:rPr>
          <w:rFonts w:ascii="Arial Narrow" w:hAnsi="Arial Narrow" w:cs="Tahoma"/>
          <w:vanish/>
          <w:color w:val="333333"/>
        </w:rPr>
        <w:t>Precios Especiales a grupos.</w:t>
      </w:r>
      <w:r w:rsidRPr="00D0745F">
        <w:rPr>
          <w:rFonts w:ascii="Arial Narrow" w:hAnsi="Arial Narrow" w:cs="Tahoma"/>
          <w:vanish/>
          <w:color w:val="333333"/>
        </w:rPr>
        <w:br/>
      </w:r>
      <w:r w:rsidRPr="00D0745F">
        <w:rPr>
          <w:rFonts w:ascii="Arial Narrow" w:hAnsi="Arial Narrow" w:cs="Tahoma"/>
          <w:vanish/>
          <w:color w:val="333333"/>
        </w:rPr>
        <w:br/>
      </w:r>
      <w:r w:rsidRPr="00693C27">
        <w:rPr>
          <w:rFonts w:ascii="Arial Narrow" w:hAnsi="Arial Narrow" w:cs="Tahoma"/>
          <w:vanish/>
          <w:color w:val="333333"/>
        </w:rPr>
        <w:t>LUGARES:</w:t>
      </w:r>
      <w:r w:rsidRPr="00D0745F">
        <w:rPr>
          <w:rFonts w:ascii="Arial Narrow" w:hAnsi="Arial Narrow" w:cs="Tahoma"/>
          <w:vanish/>
          <w:color w:val="333333"/>
        </w:rPr>
        <w:br/>
      </w:r>
      <w:r w:rsidRPr="00693C27">
        <w:rPr>
          <w:rFonts w:ascii="Arial Narrow" w:hAnsi="Arial Narrow" w:cs="Tahoma"/>
          <w:vanish/>
          <w:color w:val="333333"/>
        </w:rPr>
        <w:t xml:space="preserve">Puebla, Pue 9 de Enero del 2012 </w:t>
      </w:r>
      <w:r w:rsidRPr="00D0745F">
        <w:rPr>
          <w:rFonts w:ascii="Arial Narrow" w:hAnsi="Arial Narrow" w:cs="Tahoma"/>
          <w:vanish/>
          <w:color w:val="333333"/>
        </w:rPr>
        <w:br/>
      </w:r>
      <w:r w:rsidRPr="00693C27">
        <w:rPr>
          <w:rFonts w:ascii="Arial Narrow" w:hAnsi="Arial Narrow" w:cs="Tahoma"/>
          <w:vanish/>
          <w:color w:val="333333"/>
        </w:rPr>
        <w:t>Hotel Misión Arcángel</w:t>
      </w:r>
      <w:r w:rsidRPr="00D0745F">
        <w:rPr>
          <w:rFonts w:ascii="Arial Narrow" w:hAnsi="Arial Narrow" w:cs="Tahoma"/>
          <w:vanish/>
          <w:color w:val="333333"/>
        </w:rPr>
        <w:br/>
      </w:r>
      <w:r w:rsidRPr="00D0745F">
        <w:rPr>
          <w:rFonts w:ascii="Arial Narrow" w:hAnsi="Arial Narrow" w:cs="Tahoma"/>
          <w:vanish/>
          <w:color w:val="333333"/>
        </w:rPr>
        <w:br/>
      </w:r>
      <w:r w:rsidRPr="00693C27">
        <w:rPr>
          <w:rFonts w:ascii="Arial Narrow" w:hAnsi="Arial Narrow" w:cs="Tahoma"/>
          <w:vanish/>
          <w:color w:val="333333"/>
        </w:rPr>
        <w:t>México DF 10 de Enero</w:t>
      </w:r>
      <w:r w:rsidRPr="00D0745F">
        <w:rPr>
          <w:rFonts w:ascii="Arial Narrow" w:hAnsi="Arial Narrow" w:cs="Tahoma"/>
          <w:vanish/>
          <w:color w:val="333333"/>
        </w:rPr>
        <w:br/>
      </w:r>
      <w:r w:rsidRPr="00693C27">
        <w:rPr>
          <w:rFonts w:ascii="Arial Narrow" w:hAnsi="Arial Narrow" w:cs="Tahoma"/>
          <w:vanish/>
          <w:color w:val="333333"/>
        </w:rPr>
        <w:t>Hotel Fiesta Inn Centro Histórico</w:t>
      </w:r>
      <w:r w:rsidRPr="00D0745F">
        <w:rPr>
          <w:rFonts w:ascii="Arial Narrow" w:hAnsi="Arial Narrow" w:cs="Tahoma"/>
          <w:vanish/>
          <w:color w:val="333333"/>
        </w:rPr>
        <w:br/>
      </w:r>
      <w:r w:rsidRPr="00D0745F">
        <w:rPr>
          <w:rFonts w:ascii="Arial Narrow" w:hAnsi="Arial Narrow" w:cs="Tahoma"/>
          <w:vanish/>
          <w:color w:val="333333"/>
        </w:rPr>
        <w:br/>
      </w:r>
      <w:r w:rsidRPr="00693C27">
        <w:rPr>
          <w:rFonts w:ascii="Arial Narrow" w:hAnsi="Arial Narrow" w:cs="Tahoma"/>
          <w:vanish/>
          <w:color w:val="333333"/>
        </w:rPr>
        <w:t xml:space="preserve">Querétaro Qro. 11 de Enero </w:t>
      </w:r>
      <w:r w:rsidRPr="00D0745F">
        <w:rPr>
          <w:rFonts w:ascii="Arial Narrow" w:hAnsi="Arial Narrow" w:cs="Tahoma"/>
          <w:vanish/>
          <w:color w:val="333333"/>
        </w:rPr>
        <w:br/>
      </w:r>
      <w:r w:rsidRPr="00693C27">
        <w:rPr>
          <w:rFonts w:ascii="Arial Narrow" w:hAnsi="Arial Narrow" w:cs="Tahoma"/>
          <w:vanish/>
          <w:color w:val="333333"/>
        </w:rPr>
        <w:t>Holiday Inn Centro</w:t>
      </w:r>
      <w:r w:rsidRPr="00D0745F">
        <w:rPr>
          <w:rFonts w:ascii="Arial Narrow" w:hAnsi="Arial Narrow" w:cs="Tahoma"/>
          <w:vanish/>
          <w:color w:val="333333"/>
        </w:rPr>
        <w:br/>
      </w:r>
      <w:r w:rsidRPr="00D0745F">
        <w:rPr>
          <w:rFonts w:ascii="Arial Narrow" w:hAnsi="Arial Narrow" w:cs="Tahoma"/>
          <w:vanish/>
          <w:color w:val="333333"/>
        </w:rPr>
        <w:br/>
      </w:r>
      <w:r w:rsidRPr="00693C27">
        <w:rPr>
          <w:rFonts w:ascii="Arial Narrow" w:hAnsi="Arial Narrow" w:cs="Tahoma"/>
          <w:vanish/>
          <w:color w:val="333333"/>
        </w:rPr>
        <w:t xml:space="preserve">San Luis Potosí 12 de Enero </w:t>
      </w:r>
      <w:r w:rsidRPr="00D0745F">
        <w:rPr>
          <w:rFonts w:ascii="Arial Narrow" w:hAnsi="Arial Narrow" w:cs="Tahoma"/>
          <w:vanish/>
          <w:color w:val="333333"/>
        </w:rPr>
        <w:br/>
      </w:r>
      <w:r w:rsidRPr="00693C27">
        <w:rPr>
          <w:rFonts w:ascii="Arial Narrow" w:hAnsi="Arial Narrow" w:cs="Tahoma"/>
          <w:vanish/>
          <w:color w:val="333333"/>
        </w:rPr>
        <w:t>Hotel Fiesta Inn Glorieta</w:t>
      </w:r>
      <w:r w:rsidRPr="00D0745F">
        <w:rPr>
          <w:rFonts w:ascii="Arial Narrow" w:hAnsi="Arial Narrow" w:cs="Tahoma"/>
          <w:vanish/>
          <w:color w:val="333333"/>
        </w:rPr>
        <w:br/>
      </w:r>
      <w:r w:rsidRPr="00D0745F">
        <w:rPr>
          <w:rFonts w:ascii="Arial Narrow" w:hAnsi="Arial Narrow" w:cs="Tahoma"/>
          <w:vanish/>
          <w:color w:val="333333"/>
        </w:rPr>
        <w:br/>
      </w:r>
      <w:r w:rsidRPr="00693C27">
        <w:rPr>
          <w:rFonts w:ascii="Arial Narrow" w:hAnsi="Arial Narrow" w:cs="Tahoma"/>
          <w:vanish/>
          <w:color w:val="333333"/>
        </w:rPr>
        <w:t xml:space="preserve">Guadalajara 13 de Enero </w:t>
      </w:r>
      <w:r w:rsidRPr="00D0745F">
        <w:rPr>
          <w:rFonts w:ascii="Arial Narrow" w:hAnsi="Arial Narrow" w:cs="Tahoma"/>
          <w:vanish/>
          <w:color w:val="333333"/>
        </w:rPr>
        <w:br/>
      </w:r>
      <w:r w:rsidRPr="00693C27">
        <w:rPr>
          <w:rFonts w:ascii="Arial Narrow" w:hAnsi="Arial Narrow" w:cs="Tahoma"/>
          <w:vanish/>
          <w:color w:val="333333"/>
        </w:rPr>
        <w:t>Hilton Frente a la Expo.</w:t>
      </w:r>
      <w:r w:rsidRPr="00D0745F">
        <w:rPr>
          <w:rFonts w:ascii="Arial Narrow" w:hAnsi="Arial Narrow" w:cs="Tahoma"/>
          <w:vanish/>
          <w:color w:val="333333"/>
        </w:rPr>
        <w:br/>
      </w:r>
      <w:r w:rsidRPr="00D0745F">
        <w:rPr>
          <w:rFonts w:ascii="Arial Narrow" w:hAnsi="Arial Narrow" w:cs="Tahoma"/>
          <w:vanish/>
          <w:color w:val="333333"/>
        </w:rPr>
        <w:br/>
      </w:r>
      <w:r w:rsidRPr="00693C27">
        <w:rPr>
          <w:rFonts w:ascii="Arial Narrow" w:hAnsi="Arial Narrow" w:cs="Tahoma"/>
          <w:vanish/>
          <w:color w:val="333333"/>
        </w:rPr>
        <w:t xml:space="preserve">16:00 a 21:00 Hrs. </w:t>
      </w:r>
      <w:r w:rsidRPr="00D0745F">
        <w:rPr>
          <w:rFonts w:ascii="Arial Narrow" w:hAnsi="Arial Narrow" w:cs="Tahoma"/>
          <w:vanish/>
          <w:color w:val="333333"/>
        </w:rPr>
        <w:br/>
      </w:r>
      <w:r w:rsidRPr="00D0745F">
        <w:rPr>
          <w:rFonts w:ascii="Arial Narrow" w:hAnsi="Arial Narrow" w:cs="Tahoma"/>
          <w:vanish/>
          <w:color w:val="333333"/>
        </w:rPr>
        <w:br/>
      </w:r>
      <w:r w:rsidRPr="00693C27">
        <w:rPr>
          <w:rFonts w:ascii="Arial Narrow" w:hAnsi="Arial Narrow" w:cs="Tahoma"/>
          <w:vanish/>
          <w:color w:val="333333"/>
        </w:rPr>
        <w:t>FORMAS DE PAGO:</w:t>
      </w:r>
      <w:r w:rsidRPr="00D0745F">
        <w:rPr>
          <w:rFonts w:ascii="Arial Narrow" w:hAnsi="Arial Narrow" w:cs="Tahoma"/>
          <w:vanish/>
          <w:color w:val="333333"/>
        </w:rPr>
        <w:br/>
      </w:r>
      <w:r w:rsidRPr="00693C27">
        <w:rPr>
          <w:rFonts w:ascii="Arial Narrow" w:hAnsi="Arial Narrow" w:cs="Tahoma"/>
          <w:vanish/>
          <w:color w:val="333333"/>
        </w:rPr>
        <w:t>Antes de realizar el pago asegúrese de reservar su lugar.</w:t>
      </w:r>
      <w:r w:rsidRPr="00D0745F">
        <w:rPr>
          <w:rFonts w:ascii="Arial Narrow" w:hAnsi="Arial Narrow" w:cs="Tahoma"/>
          <w:vanish/>
          <w:color w:val="333333"/>
        </w:rPr>
        <w:br/>
      </w:r>
      <w:r w:rsidRPr="00D0745F">
        <w:rPr>
          <w:rFonts w:ascii="Arial Narrow" w:hAnsi="Arial Narrow" w:cs="Tahoma"/>
          <w:vanish/>
          <w:color w:val="333333"/>
        </w:rPr>
        <w:br/>
      </w:r>
      <w:r w:rsidRPr="00693C27">
        <w:rPr>
          <w:rFonts w:ascii="Arial Narrow" w:hAnsi="Arial Narrow" w:cs="Tahoma"/>
          <w:vanish/>
          <w:color w:val="333333"/>
        </w:rPr>
        <w:t>º BANORTE: 0642-07287-6 CLABE: 072700006420728760</w:t>
      </w:r>
      <w:r w:rsidRPr="00D0745F">
        <w:rPr>
          <w:rFonts w:ascii="Arial Narrow" w:hAnsi="Arial Narrow" w:cs="Tahoma"/>
          <w:vanish/>
          <w:color w:val="333333"/>
        </w:rPr>
        <w:br/>
      </w:r>
      <w:r w:rsidRPr="00693C27">
        <w:rPr>
          <w:rFonts w:ascii="Arial Narrow" w:hAnsi="Arial Narrow" w:cs="Tahoma"/>
          <w:vanish/>
          <w:color w:val="333333"/>
        </w:rPr>
        <w:t>º INBURSA: 50001089132 CLABE: 036700500010891329</w:t>
      </w:r>
      <w:r w:rsidRPr="00D0745F">
        <w:rPr>
          <w:rFonts w:ascii="Arial Narrow" w:hAnsi="Arial Narrow" w:cs="Tahoma"/>
          <w:vanish/>
          <w:color w:val="333333"/>
        </w:rPr>
        <w:br/>
      </w:r>
      <w:r w:rsidRPr="00693C27">
        <w:rPr>
          <w:rFonts w:ascii="Arial Narrow" w:hAnsi="Arial Narrow" w:cs="Tahoma"/>
          <w:vanish/>
          <w:color w:val="333333"/>
        </w:rPr>
        <w:t xml:space="preserve">º Puede realizar su pago en efectivo en Sanborn´s. </w:t>
      </w:r>
      <w:r w:rsidRPr="00D0745F">
        <w:rPr>
          <w:rFonts w:ascii="Arial Narrow" w:hAnsi="Arial Narrow" w:cs="Tahoma"/>
          <w:vanish/>
          <w:color w:val="333333"/>
        </w:rPr>
        <w:br/>
      </w:r>
      <w:r w:rsidRPr="00D0745F">
        <w:rPr>
          <w:rFonts w:ascii="Arial Narrow" w:hAnsi="Arial Narrow" w:cs="Tahoma"/>
          <w:vanish/>
          <w:color w:val="333333"/>
        </w:rPr>
        <w:br/>
      </w:r>
      <w:r w:rsidRPr="00693C27">
        <w:rPr>
          <w:rFonts w:ascii="Arial Narrow" w:hAnsi="Arial Narrow" w:cs="Tahoma"/>
          <w:vanish/>
          <w:color w:val="333333"/>
        </w:rPr>
        <w:t>º BANAMEX: 691-4932759 CLABE: 002700069149327598</w:t>
      </w:r>
      <w:r w:rsidRPr="00D0745F">
        <w:rPr>
          <w:rFonts w:ascii="Arial Narrow" w:hAnsi="Arial Narrow" w:cs="Tahoma"/>
          <w:vanish/>
          <w:color w:val="333333"/>
        </w:rPr>
        <w:br/>
      </w:r>
      <w:r w:rsidRPr="00693C27">
        <w:rPr>
          <w:rFonts w:ascii="Arial Narrow" w:hAnsi="Arial Narrow" w:cs="Tahoma"/>
          <w:vanish/>
          <w:color w:val="333333"/>
        </w:rPr>
        <w:t>° BANCO DEL BAJIO: 7209547 CLABE: 030 700720954702017</w:t>
      </w:r>
      <w:r w:rsidRPr="00D0745F">
        <w:rPr>
          <w:rFonts w:ascii="Arial Narrow" w:hAnsi="Arial Narrow" w:cs="Tahoma"/>
          <w:vanish/>
          <w:color w:val="333333"/>
        </w:rPr>
        <w:br/>
      </w:r>
      <w:r w:rsidRPr="00D0745F">
        <w:rPr>
          <w:rFonts w:ascii="Arial Narrow" w:hAnsi="Arial Narrow" w:cs="Tahoma"/>
          <w:vanish/>
          <w:color w:val="333333"/>
        </w:rPr>
        <w:br/>
      </w:r>
      <w:r w:rsidRPr="00693C27">
        <w:rPr>
          <w:rFonts w:ascii="Arial Narrow" w:hAnsi="Arial Narrow" w:cs="Tahoma"/>
          <w:vanish/>
          <w:color w:val="333333"/>
        </w:rPr>
        <w:t>Recibimos todas las tarjetas de crédito VISA y MASTERCARD.</w:t>
      </w:r>
      <w:r w:rsidRPr="00D0745F">
        <w:rPr>
          <w:rFonts w:ascii="Arial Narrow" w:hAnsi="Arial Narrow" w:cs="Tahoma"/>
          <w:vanish/>
          <w:color w:val="333333"/>
        </w:rPr>
        <w:br/>
      </w:r>
      <w:r w:rsidRPr="00693C27">
        <w:rPr>
          <w:rFonts w:ascii="Arial Narrow" w:hAnsi="Arial Narrow" w:cs="Tahoma"/>
          <w:vanish/>
          <w:color w:val="333333"/>
        </w:rPr>
        <w:t>Aprovecha 3 y 6 meses sin intereses con tarjetas participantes.</w:t>
      </w:r>
      <w:r w:rsidRPr="00D0745F">
        <w:rPr>
          <w:rFonts w:ascii="Arial Narrow" w:hAnsi="Arial Narrow" w:cs="Tahoma"/>
          <w:vanish/>
          <w:color w:val="333333"/>
        </w:rPr>
        <w:br/>
      </w:r>
      <w:r w:rsidRPr="00693C27">
        <w:rPr>
          <w:rFonts w:ascii="Arial Narrow" w:hAnsi="Arial Narrow" w:cs="Tahoma"/>
          <w:vanish/>
          <w:color w:val="333333"/>
        </w:rPr>
        <w:t>El evento incluye Diploma con valor de 5 puntos para EPC, Coffe brake, Carpeta conmemorativa, pluma y múltiples tips aplicables de inmediato. Cuota preferencial de estacionamiento.</w:t>
      </w:r>
      <w:r w:rsidRPr="00D0745F">
        <w:rPr>
          <w:rFonts w:ascii="Arial Narrow" w:hAnsi="Arial Narrow" w:cs="Tahoma"/>
          <w:vanish/>
          <w:color w:val="333333"/>
        </w:rPr>
        <w:br/>
      </w:r>
      <w:r w:rsidRPr="00D0745F">
        <w:rPr>
          <w:rFonts w:ascii="Arial Narrow" w:hAnsi="Arial Narrow" w:cs="Tahoma"/>
          <w:vanish/>
          <w:color w:val="333333"/>
        </w:rPr>
        <w:br/>
      </w:r>
      <w:r w:rsidRPr="00693C27">
        <w:rPr>
          <w:rFonts w:ascii="Arial Narrow" w:hAnsi="Arial Narrow" w:cs="Tahoma"/>
          <w:vanish/>
          <w:color w:val="333333"/>
        </w:rPr>
        <w:t>A nombre de:</w:t>
      </w:r>
      <w:r w:rsidRPr="00D0745F">
        <w:rPr>
          <w:rFonts w:ascii="Arial Narrow" w:hAnsi="Arial Narrow" w:cs="Tahoma"/>
          <w:vanish/>
          <w:color w:val="333333"/>
        </w:rPr>
        <w:br/>
      </w:r>
      <w:r w:rsidRPr="00693C27">
        <w:rPr>
          <w:rFonts w:ascii="Arial Narrow" w:hAnsi="Arial Narrow" w:cs="Tahoma"/>
          <w:vanish/>
          <w:color w:val="333333"/>
        </w:rPr>
        <w:t>LOGÍSTICA Y CAPACITACIÓN</w:t>
      </w:r>
      <w:r w:rsidRPr="00D0745F">
        <w:rPr>
          <w:rFonts w:ascii="Arial Narrow" w:hAnsi="Arial Narrow" w:cs="Tahoma"/>
          <w:vanish/>
          <w:color w:val="333333"/>
        </w:rPr>
        <w:br/>
      </w:r>
      <w:r w:rsidRPr="00693C27">
        <w:rPr>
          <w:rFonts w:ascii="Arial Narrow" w:hAnsi="Arial Narrow" w:cs="Tahoma"/>
          <w:vanish/>
          <w:color w:val="333333"/>
        </w:rPr>
        <w:t>PROFESIONAL SC.</w:t>
      </w:r>
      <w:r w:rsidRPr="00D0745F">
        <w:rPr>
          <w:rFonts w:ascii="Arial Narrow" w:hAnsi="Arial Narrow" w:cs="Tahoma"/>
          <w:vanish/>
          <w:color w:val="333333"/>
        </w:rPr>
        <w:br/>
      </w:r>
      <w:r w:rsidRPr="00693C27">
        <w:rPr>
          <w:rFonts w:ascii="Arial Narrow" w:hAnsi="Arial Narrow" w:cs="Tahoma"/>
          <w:vanish/>
          <w:color w:val="333333"/>
        </w:rPr>
        <w:t>PREGUNTA A NUESTRAS ASESORAS:</w:t>
      </w:r>
      <w:r w:rsidRPr="00D0745F">
        <w:rPr>
          <w:rFonts w:ascii="Arial Narrow" w:hAnsi="Arial Narrow" w:cs="Tahoma"/>
          <w:vanish/>
          <w:color w:val="333333"/>
        </w:rPr>
        <w:br/>
      </w:r>
      <w:r w:rsidRPr="00693C27">
        <w:rPr>
          <w:rFonts w:ascii="Arial Narrow" w:hAnsi="Arial Narrow" w:cs="Tahoma"/>
          <w:vanish/>
          <w:color w:val="333333"/>
        </w:rPr>
        <w:t>L.C.C. ESMERALDA BAUTISTA</w:t>
      </w:r>
      <w:r w:rsidRPr="00D0745F">
        <w:rPr>
          <w:rFonts w:ascii="Arial Narrow" w:hAnsi="Arial Narrow" w:cs="Tahoma"/>
          <w:vanish/>
          <w:color w:val="333333"/>
        </w:rPr>
        <w:br/>
      </w:r>
      <w:r w:rsidRPr="00693C27">
        <w:rPr>
          <w:rFonts w:ascii="Arial Narrow" w:hAnsi="Arial Narrow" w:cs="Tahoma"/>
          <w:vanish/>
          <w:color w:val="333333"/>
        </w:rPr>
        <w:t>LIC. ANDREA MUÑOZ</w:t>
      </w:r>
      <w:r w:rsidRPr="00D0745F">
        <w:rPr>
          <w:rFonts w:ascii="Arial Narrow" w:hAnsi="Arial Narrow" w:cs="Tahoma"/>
          <w:vanish/>
          <w:color w:val="333333"/>
        </w:rPr>
        <w:br/>
      </w:r>
      <w:r w:rsidRPr="00693C27">
        <w:rPr>
          <w:rFonts w:ascii="Arial Narrow" w:hAnsi="Arial Narrow" w:cs="Tahoma"/>
          <w:vanish/>
          <w:color w:val="333333"/>
        </w:rPr>
        <w:t>LIC. LUZ ELENA GUZMAN</w:t>
      </w:r>
      <w:r w:rsidRPr="00D0745F">
        <w:rPr>
          <w:rFonts w:ascii="Arial Narrow" w:hAnsi="Arial Narrow" w:cs="Tahoma"/>
          <w:vanish/>
          <w:color w:val="333333"/>
        </w:rPr>
        <w:br/>
      </w:r>
      <w:r w:rsidRPr="00693C27">
        <w:rPr>
          <w:rFonts w:ascii="Arial Narrow" w:hAnsi="Arial Narrow" w:cs="Tahoma"/>
          <w:vanish/>
          <w:color w:val="333333"/>
        </w:rPr>
        <w:t>Tel y Fax:</w:t>
      </w:r>
      <w:r w:rsidRPr="00D0745F">
        <w:rPr>
          <w:rFonts w:ascii="Arial Narrow" w:hAnsi="Arial Narrow" w:cs="Tahoma"/>
          <w:vanish/>
          <w:color w:val="333333"/>
        </w:rPr>
        <w:br/>
      </w:r>
      <w:r w:rsidRPr="00693C27">
        <w:rPr>
          <w:rFonts w:ascii="Arial Narrow" w:hAnsi="Arial Narrow" w:cs="Tahoma"/>
          <w:vanish/>
          <w:color w:val="333333"/>
        </w:rPr>
        <w:t>444.820.45.20 y 815.59.45</w:t>
      </w:r>
      <w:r w:rsidRPr="00D0745F">
        <w:rPr>
          <w:rFonts w:ascii="Arial Narrow" w:hAnsi="Arial Narrow" w:cs="Tahoma"/>
          <w:vanish/>
          <w:color w:val="333333"/>
        </w:rPr>
        <w:br/>
      </w:r>
      <w:r w:rsidRPr="00693C27">
        <w:rPr>
          <w:rFonts w:ascii="Arial Narrow" w:hAnsi="Arial Narrow" w:cs="Tahoma"/>
          <w:vanish/>
          <w:color w:val="333333"/>
        </w:rPr>
        <w:t>Lada sin Costo:</w:t>
      </w:r>
      <w:r w:rsidRPr="00D0745F">
        <w:rPr>
          <w:rFonts w:ascii="Arial Narrow" w:hAnsi="Arial Narrow" w:cs="Tahoma"/>
          <w:vanish/>
          <w:color w:val="333333"/>
        </w:rPr>
        <w:br/>
      </w:r>
      <w:r w:rsidRPr="00693C27">
        <w:rPr>
          <w:rFonts w:ascii="Arial Narrow" w:hAnsi="Arial Narrow" w:cs="Tahoma"/>
          <w:vanish/>
          <w:color w:val="333333"/>
        </w:rPr>
        <w:t>01800.822.29.55, 01800.581.12.30 y 01800.836.66.00</w:t>
      </w:r>
      <w:r w:rsidRPr="00D0745F">
        <w:rPr>
          <w:rFonts w:ascii="Arial Narrow" w:hAnsi="Arial Narrow" w:cs="Tahoma"/>
          <w:vanish/>
          <w:color w:val="333333"/>
        </w:rPr>
        <w:br/>
      </w:r>
      <w:r w:rsidRPr="00693C27">
        <w:rPr>
          <w:rFonts w:ascii="Arial Narrow" w:hAnsi="Arial Narrow" w:cs="Tahoma"/>
          <w:vanish/>
          <w:color w:val="333333"/>
        </w:rPr>
        <w:t>NEXTEL: 72*592814*1 y 72*592814*2</w:t>
      </w:r>
      <w:r w:rsidRPr="00D0745F">
        <w:rPr>
          <w:rFonts w:ascii="Arial Narrow" w:hAnsi="Arial Narrow" w:cs="Tahoma"/>
          <w:vanish/>
          <w:color w:val="333333"/>
        </w:rPr>
        <w:br/>
      </w:r>
      <w:r w:rsidRPr="00693C27">
        <w:rPr>
          <w:rFonts w:ascii="Arial Narrow" w:hAnsi="Arial Narrow" w:cs="Tahoma"/>
          <w:vanish/>
          <w:color w:val="333333"/>
        </w:rPr>
        <w:t xml:space="preserve">E-MAIL: </w:t>
      </w:r>
      <w:r w:rsidRPr="00D0745F">
        <w:rPr>
          <w:rFonts w:ascii="Arial Narrow" w:hAnsi="Arial Narrow" w:cs="Tahoma"/>
          <w:vanish/>
          <w:color w:val="333333"/>
        </w:rPr>
        <w:br/>
      </w:r>
      <w:r w:rsidRPr="00693C27">
        <w:rPr>
          <w:rFonts w:ascii="Arial Narrow" w:hAnsi="Arial Narrow" w:cs="Tahoma"/>
          <w:vanish/>
          <w:color w:val="333333"/>
        </w:rPr>
        <w:t>eventosfiscales@gmail.com</w:t>
      </w:r>
      <w:r w:rsidRPr="00D0745F">
        <w:rPr>
          <w:rFonts w:ascii="Arial Narrow" w:hAnsi="Arial Narrow" w:cs="Tahoma"/>
          <w:vanish/>
          <w:color w:val="333333"/>
        </w:rPr>
        <w:br/>
      </w:r>
      <w:r w:rsidRPr="00D0745F">
        <w:rPr>
          <w:rFonts w:ascii="Arial Narrow" w:hAnsi="Arial Narrow" w:cs="Tahoma"/>
          <w:vanish/>
          <w:color w:val="333333"/>
        </w:rPr>
        <w:br/>
      </w:r>
      <w:r w:rsidRPr="00693C27">
        <w:rPr>
          <w:rFonts w:ascii="Arial Narrow" w:hAnsi="Arial Narrow" w:cs="Tahoma"/>
          <w:vanish/>
          <w:color w:val="333333"/>
        </w:rPr>
        <w:t>“El Hombre Capacitado es Sinónimo de Exito”</w:t>
      </w:r>
      <w:r w:rsidRPr="00D0745F">
        <w:rPr>
          <w:rFonts w:ascii="Arial Narrow" w:hAnsi="Arial Narrow" w:cs="Tahoma"/>
          <w:vanish/>
          <w:color w:val="333333"/>
        </w:rPr>
        <w:br/>
      </w:r>
      <w:r w:rsidRPr="00693C27">
        <w:rPr>
          <w:rFonts w:ascii="Arial Narrow" w:hAnsi="Arial Narrow" w:cs="Tahoma"/>
          <w:vanish/>
          <w:color w:val="333333"/>
        </w:rPr>
        <w:t>Gracias por su participación y confianza.</w:t>
      </w:r>
    </w:p>
    <w:p w:rsidR="001A56CC" w:rsidRPr="001A56CC" w:rsidRDefault="00A027E4" w:rsidP="001A56CC">
      <w:pPr>
        <w:jc w:val="right"/>
        <w:rPr>
          <w:rFonts w:ascii="Arial Narrow" w:hAnsi="Arial Narrow" w:cs="Arial"/>
          <w:szCs w:val="22"/>
          <w:lang w:val="pt-BR"/>
        </w:rPr>
      </w:pPr>
      <w:r>
        <w:rPr>
          <w:rFonts w:ascii="Arial Narrow" w:hAnsi="Arial Narrow" w:cs="Arial"/>
          <w:szCs w:val="22"/>
          <w:lang w:val="pt-BR"/>
        </w:rPr>
        <w:t>Chihuahua, Chih a Febrero de 2012</w:t>
      </w:r>
    </w:p>
    <w:p w:rsidR="001A56CC" w:rsidRPr="001A56CC" w:rsidRDefault="001A56CC" w:rsidP="001A56CC">
      <w:pPr>
        <w:jc w:val="right"/>
        <w:rPr>
          <w:rFonts w:ascii="Arial Narrow" w:hAnsi="Arial Narrow" w:cs="Arial"/>
          <w:szCs w:val="22"/>
          <w:lang w:val="pt-BR"/>
        </w:rPr>
      </w:pPr>
    </w:p>
    <w:p w:rsidR="001A56CC" w:rsidRPr="001A56CC" w:rsidRDefault="001A56CC" w:rsidP="001A56CC">
      <w:pPr>
        <w:rPr>
          <w:rFonts w:ascii="Arial Narrow" w:hAnsi="Arial Narrow" w:cs="Arial"/>
          <w:szCs w:val="22"/>
          <w:lang w:val="pt-BR"/>
        </w:rPr>
      </w:pPr>
    </w:p>
    <w:p w:rsidR="001A56CC" w:rsidRPr="001A56CC" w:rsidRDefault="001A56CC" w:rsidP="001A56CC">
      <w:pPr>
        <w:rPr>
          <w:rFonts w:ascii="Arial Narrow" w:hAnsi="Arial Narrow" w:cs="Arial"/>
          <w:szCs w:val="22"/>
          <w:lang w:val="pt-BR"/>
        </w:rPr>
      </w:pPr>
    </w:p>
    <w:p w:rsidR="001A56CC" w:rsidRPr="001B47AE" w:rsidRDefault="001A56CC" w:rsidP="001A56CC">
      <w:pPr>
        <w:rPr>
          <w:rFonts w:ascii="Arial Narrow" w:hAnsi="Arial Narrow" w:cs="Arial"/>
          <w:b/>
          <w:color w:val="C00000"/>
          <w:szCs w:val="22"/>
        </w:rPr>
      </w:pPr>
      <w:r w:rsidRPr="001A56CC">
        <w:rPr>
          <w:rFonts w:ascii="Arial Narrow" w:hAnsi="Arial Narrow" w:cs="Arial"/>
          <w:b/>
          <w:szCs w:val="22"/>
        </w:rPr>
        <w:t xml:space="preserve"> </w:t>
      </w:r>
      <w:r w:rsidRPr="001B47AE">
        <w:rPr>
          <w:rFonts w:ascii="Arial Narrow" w:hAnsi="Arial Narrow" w:cs="Arial"/>
          <w:b/>
          <w:color w:val="C00000"/>
          <w:sz w:val="36"/>
          <w:szCs w:val="22"/>
        </w:rPr>
        <w:t xml:space="preserve">M.I. </w:t>
      </w:r>
      <w:r w:rsidR="00544EC4">
        <w:rPr>
          <w:rFonts w:ascii="Arial Narrow" w:hAnsi="Arial Narrow" w:cs="Arial"/>
          <w:b/>
          <w:color w:val="C00000"/>
          <w:sz w:val="36"/>
          <w:szCs w:val="22"/>
        </w:rPr>
        <w:t xml:space="preserve">M.A. </w:t>
      </w:r>
      <w:r w:rsidRPr="001B47AE">
        <w:rPr>
          <w:rFonts w:ascii="Arial Narrow" w:hAnsi="Arial Narrow" w:cs="Arial"/>
          <w:b/>
          <w:color w:val="C00000"/>
          <w:sz w:val="36"/>
          <w:szCs w:val="22"/>
        </w:rPr>
        <w:t>C.P.  Jorge A González Anchondo</w:t>
      </w:r>
    </w:p>
    <w:p w:rsidR="001A56CC" w:rsidRPr="001B47AE" w:rsidRDefault="001A56CC" w:rsidP="001A56CC">
      <w:pPr>
        <w:jc w:val="both"/>
        <w:rPr>
          <w:rFonts w:ascii="Berlin Sans FB Demi" w:hAnsi="Berlin Sans FB Demi" w:cs="Arial"/>
          <w:b/>
          <w:sz w:val="28"/>
          <w:szCs w:val="22"/>
        </w:rPr>
      </w:pPr>
      <w:r w:rsidRPr="001B47AE">
        <w:rPr>
          <w:rFonts w:ascii="Berlin Sans FB Demi" w:hAnsi="Berlin Sans FB Demi" w:cs="Arial"/>
          <w:b/>
          <w:sz w:val="28"/>
          <w:szCs w:val="22"/>
        </w:rPr>
        <w:t xml:space="preserve">C </w:t>
      </w:r>
      <w:proofErr w:type="spellStart"/>
      <w:r w:rsidRPr="001B47AE">
        <w:rPr>
          <w:rFonts w:ascii="Berlin Sans FB Demi" w:hAnsi="Berlin Sans FB Demi" w:cs="Arial"/>
          <w:b/>
          <w:sz w:val="28"/>
          <w:szCs w:val="22"/>
        </w:rPr>
        <w:t>C</w:t>
      </w:r>
      <w:proofErr w:type="spellEnd"/>
      <w:r w:rsidRPr="001B47AE">
        <w:rPr>
          <w:rFonts w:ascii="Berlin Sans FB Demi" w:hAnsi="Berlin Sans FB Demi" w:cs="Arial"/>
          <w:b/>
          <w:sz w:val="28"/>
          <w:szCs w:val="22"/>
        </w:rPr>
        <w:t xml:space="preserve"> Fiscal, S.C.</w:t>
      </w:r>
    </w:p>
    <w:p w:rsidR="001A56CC" w:rsidRPr="001B47AE" w:rsidRDefault="001A56CC" w:rsidP="001A56CC">
      <w:pPr>
        <w:rPr>
          <w:rFonts w:ascii="Berlin Sans FB Demi" w:hAnsi="Berlin Sans FB Demi" w:cs="Arial"/>
          <w:b/>
          <w:color w:val="4F81BD"/>
          <w:sz w:val="28"/>
          <w:szCs w:val="22"/>
        </w:rPr>
      </w:pPr>
      <w:r w:rsidRPr="001B47AE">
        <w:rPr>
          <w:rFonts w:ascii="Berlin Sans FB Demi" w:hAnsi="Berlin Sans FB Demi" w:cs="Arial"/>
          <w:b/>
          <w:color w:val="4F81BD"/>
          <w:sz w:val="28"/>
          <w:szCs w:val="22"/>
        </w:rPr>
        <w:t>www.itfiscal.com.mx</w:t>
      </w:r>
    </w:p>
    <w:p w:rsidR="001A56CC" w:rsidRPr="001A56CC" w:rsidRDefault="001A56CC" w:rsidP="001A56CC">
      <w:pPr>
        <w:rPr>
          <w:rFonts w:ascii="Arial Narrow" w:hAnsi="Arial Narrow" w:cs="Arial"/>
          <w:b/>
          <w:szCs w:val="22"/>
        </w:rPr>
      </w:pPr>
    </w:p>
    <w:p w:rsidR="001A56CC" w:rsidRPr="001A56CC" w:rsidRDefault="001A56CC" w:rsidP="001A56CC">
      <w:pPr>
        <w:rPr>
          <w:rFonts w:ascii="Arial Narrow" w:hAnsi="Arial Narrow" w:cs="Arial"/>
          <w:b/>
          <w:szCs w:val="22"/>
          <w:lang w:val="en-US"/>
        </w:rPr>
      </w:pPr>
      <w:r w:rsidRPr="001A56CC">
        <w:rPr>
          <w:rFonts w:ascii="Arial Narrow" w:hAnsi="Arial Narrow" w:cs="Arial"/>
          <w:b/>
          <w:szCs w:val="22"/>
          <w:lang w:val="en-US"/>
        </w:rPr>
        <w:t xml:space="preserve">Email      jgonzalez@itfiscal.com.mx </w:t>
      </w:r>
    </w:p>
    <w:p w:rsidR="001A56CC" w:rsidRPr="001A56CC" w:rsidRDefault="001A56CC" w:rsidP="001A56CC">
      <w:pPr>
        <w:rPr>
          <w:rFonts w:ascii="Arial Narrow" w:hAnsi="Arial Narrow" w:cs="Arial"/>
          <w:b/>
          <w:szCs w:val="22"/>
          <w:lang w:val="en-US"/>
        </w:rPr>
      </w:pPr>
      <w:r w:rsidRPr="001A56CC">
        <w:rPr>
          <w:rFonts w:ascii="Arial Narrow" w:hAnsi="Arial Narrow" w:cs="Arial"/>
          <w:b/>
          <w:szCs w:val="22"/>
          <w:lang w:val="en-US"/>
        </w:rPr>
        <w:t>MSN</w:t>
      </w:r>
      <w:r w:rsidRPr="001A56CC">
        <w:rPr>
          <w:rFonts w:ascii="Arial Narrow" w:hAnsi="Arial Narrow" w:cs="Arial"/>
          <w:szCs w:val="22"/>
          <w:lang w:val="en-US"/>
        </w:rPr>
        <w:t xml:space="preserve">       </w:t>
      </w:r>
      <w:r w:rsidRPr="001A56CC">
        <w:rPr>
          <w:rFonts w:ascii="Arial Narrow" w:hAnsi="Arial Narrow" w:cs="Arial"/>
          <w:b/>
          <w:szCs w:val="22"/>
          <w:lang w:val="en-US"/>
        </w:rPr>
        <w:t>eropgoes@hotmail.com</w:t>
      </w:r>
    </w:p>
    <w:p w:rsidR="001A56CC" w:rsidRPr="001A56CC" w:rsidRDefault="001A56CC" w:rsidP="001A56CC">
      <w:pPr>
        <w:rPr>
          <w:rFonts w:ascii="Arial Narrow" w:hAnsi="Arial Narrow" w:cs="Arial"/>
          <w:b/>
          <w:szCs w:val="22"/>
          <w:lang w:val="en-US"/>
        </w:rPr>
      </w:pPr>
      <w:r w:rsidRPr="001A56CC">
        <w:rPr>
          <w:rFonts w:ascii="Arial Narrow" w:hAnsi="Arial Narrow" w:cs="Arial"/>
          <w:b/>
          <w:szCs w:val="22"/>
          <w:lang w:val="en-US"/>
        </w:rPr>
        <w:t>Twitter</w:t>
      </w:r>
      <w:r w:rsidRPr="001A56CC">
        <w:rPr>
          <w:rFonts w:ascii="Arial Narrow" w:hAnsi="Arial Narrow" w:cs="Arial"/>
          <w:szCs w:val="22"/>
          <w:lang w:val="en-US"/>
        </w:rPr>
        <w:t xml:space="preserve">   </w:t>
      </w:r>
      <w:r w:rsidRPr="001A56CC">
        <w:rPr>
          <w:rFonts w:ascii="Arial Narrow" w:hAnsi="Arial Narrow" w:cs="Arial"/>
          <w:b/>
          <w:szCs w:val="22"/>
          <w:lang w:val="en-US"/>
        </w:rPr>
        <w:t>@jagonzaleza</w:t>
      </w:r>
    </w:p>
    <w:p w:rsidR="001A56CC" w:rsidRPr="001A56CC" w:rsidRDefault="001A56CC" w:rsidP="001A56CC">
      <w:pPr>
        <w:rPr>
          <w:rFonts w:ascii="Arial Narrow" w:hAnsi="Arial Narrow" w:cs="Arial"/>
          <w:b/>
          <w:szCs w:val="22"/>
          <w:lang w:val="en-US"/>
        </w:rPr>
      </w:pPr>
    </w:p>
    <w:p w:rsidR="001A56CC" w:rsidRPr="001A56CC" w:rsidRDefault="001A56CC" w:rsidP="001A56CC">
      <w:pPr>
        <w:numPr>
          <w:ilvl w:val="0"/>
          <w:numId w:val="30"/>
        </w:numPr>
        <w:rPr>
          <w:rFonts w:ascii="Arial Narrow" w:hAnsi="Arial Narrow" w:cs="Arial"/>
          <w:szCs w:val="22"/>
        </w:rPr>
      </w:pPr>
      <w:r w:rsidRPr="001A56CC">
        <w:rPr>
          <w:rFonts w:ascii="Arial Narrow" w:hAnsi="Arial Narrow" w:cs="Arial"/>
          <w:szCs w:val="22"/>
        </w:rPr>
        <w:lastRenderedPageBreak/>
        <w:t>Contador Público</w:t>
      </w:r>
    </w:p>
    <w:p w:rsidR="001A56CC" w:rsidRPr="001A56CC" w:rsidRDefault="001A56CC" w:rsidP="001A56CC">
      <w:pPr>
        <w:numPr>
          <w:ilvl w:val="0"/>
          <w:numId w:val="30"/>
        </w:numPr>
        <w:rPr>
          <w:rFonts w:ascii="Arial Narrow" w:hAnsi="Arial Narrow" w:cs="Arial"/>
          <w:szCs w:val="22"/>
        </w:rPr>
      </w:pPr>
      <w:r w:rsidRPr="001A56CC">
        <w:rPr>
          <w:rFonts w:ascii="Arial Narrow" w:hAnsi="Arial Narrow" w:cs="Arial"/>
          <w:szCs w:val="22"/>
        </w:rPr>
        <w:t>Maestría en Impuestos y Auditoria</w:t>
      </w:r>
    </w:p>
    <w:p w:rsidR="001A56CC" w:rsidRPr="001A56CC" w:rsidRDefault="001A56CC" w:rsidP="001A56CC">
      <w:pPr>
        <w:numPr>
          <w:ilvl w:val="0"/>
          <w:numId w:val="30"/>
        </w:numPr>
        <w:rPr>
          <w:rFonts w:ascii="Arial Narrow" w:hAnsi="Arial Narrow" w:cs="Arial"/>
          <w:szCs w:val="22"/>
        </w:rPr>
      </w:pPr>
      <w:r w:rsidRPr="001A56CC">
        <w:rPr>
          <w:rFonts w:ascii="Arial Narrow" w:hAnsi="Arial Narrow" w:cs="Arial"/>
          <w:szCs w:val="22"/>
        </w:rPr>
        <w:t>Especialista en Concursos Mercantiles</w:t>
      </w:r>
    </w:p>
    <w:p w:rsidR="001A56CC" w:rsidRPr="001A56CC" w:rsidRDefault="001A56CC" w:rsidP="001A56CC">
      <w:pPr>
        <w:numPr>
          <w:ilvl w:val="0"/>
          <w:numId w:val="30"/>
        </w:numPr>
        <w:rPr>
          <w:rFonts w:ascii="Arial Narrow" w:hAnsi="Arial Narrow" w:cs="Arial"/>
          <w:szCs w:val="22"/>
        </w:rPr>
      </w:pPr>
      <w:r w:rsidRPr="001A56CC">
        <w:rPr>
          <w:rFonts w:ascii="Arial Narrow" w:hAnsi="Arial Narrow" w:cs="Arial"/>
          <w:szCs w:val="22"/>
        </w:rPr>
        <w:t>Maestro en Pos Grado en  Impuestos  y Auditoria en FCA UACH</w:t>
      </w:r>
    </w:p>
    <w:p w:rsidR="001A56CC" w:rsidRPr="001A56CC" w:rsidRDefault="001A56CC" w:rsidP="001A56CC">
      <w:pPr>
        <w:numPr>
          <w:ilvl w:val="0"/>
          <w:numId w:val="30"/>
        </w:numPr>
        <w:rPr>
          <w:rFonts w:ascii="Arial Narrow" w:hAnsi="Arial Narrow" w:cs="Arial"/>
          <w:szCs w:val="22"/>
        </w:rPr>
      </w:pPr>
      <w:r w:rsidRPr="001A56CC">
        <w:rPr>
          <w:rFonts w:ascii="Arial Narrow" w:hAnsi="Arial Narrow" w:cs="Arial"/>
          <w:szCs w:val="22"/>
        </w:rPr>
        <w:t>Maestro en Planeación Fiscal  FCA UACH</w:t>
      </w:r>
    </w:p>
    <w:p w:rsidR="001A56CC" w:rsidRPr="001A56CC" w:rsidRDefault="001A56CC" w:rsidP="001A56CC">
      <w:pPr>
        <w:numPr>
          <w:ilvl w:val="0"/>
          <w:numId w:val="30"/>
        </w:numPr>
        <w:rPr>
          <w:rFonts w:ascii="Arial Narrow" w:hAnsi="Arial Narrow" w:cs="Arial"/>
          <w:szCs w:val="22"/>
        </w:rPr>
      </w:pPr>
      <w:r w:rsidRPr="001A56CC">
        <w:rPr>
          <w:rFonts w:ascii="Arial Narrow" w:hAnsi="Arial Narrow" w:cs="Arial"/>
          <w:szCs w:val="22"/>
        </w:rPr>
        <w:t>Maestro Pos grado en Estrategias Fiscales UABC</w:t>
      </w:r>
    </w:p>
    <w:p w:rsidR="001A56CC" w:rsidRPr="001A56CC" w:rsidRDefault="001A56CC" w:rsidP="001A56CC">
      <w:pPr>
        <w:numPr>
          <w:ilvl w:val="0"/>
          <w:numId w:val="30"/>
        </w:numPr>
        <w:rPr>
          <w:rFonts w:ascii="Arial Narrow" w:hAnsi="Arial Narrow" w:cs="Arial"/>
          <w:szCs w:val="22"/>
        </w:rPr>
      </w:pPr>
      <w:r w:rsidRPr="001A56CC">
        <w:rPr>
          <w:rFonts w:ascii="Arial Narrow" w:hAnsi="Arial Narrow" w:cs="Arial"/>
          <w:szCs w:val="22"/>
        </w:rPr>
        <w:t>Vicepresidente de Delegaciones del ICCPCH</w:t>
      </w:r>
    </w:p>
    <w:p w:rsidR="001A56CC" w:rsidRPr="001A56CC" w:rsidRDefault="001A56CC" w:rsidP="001A56CC">
      <w:pPr>
        <w:numPr>
          <w:ilvl w:val="0"/>
          <w:numId w:val="30"/>
        </w:numPr>
        <w:rPr>
          <w:rFonts w:ascii="Arial Narrow" w:hAnsi="Arial Narrow" w:cs="Arial"/>
          <w:szCs w:val="22"/>
        </w:rPr>
      </w:pPr>
      <w:r w:rsidRPr="001A56CC">
        <w:rPr>
          <w:rFonts w:ascii="Arial Narrow" w:hAnsi="Arial Narrow" w:cs="Arial"/>
          <w:szCs w:val="22"/>
        </w:rPr>
        <w:t>Consultor  fiscal y Jurídico de Incubadoras de empresas</w:t>
      </w:r>
    </w:p>
    <w:p w:rsidR="001A56CC" w:rsidRPr="001A56CC" w:rsidRDefault="001A56CC" w:rsidP="001A56CC">
      <w:pPr>
        <w:numPr>
          <w:ilvl w:val="0"/>
          <w:numId w:val="30"/>
        </w:numPr>
        <w:rPr>
          <w:rFonts w:ascii="Arial Narrow" w:hAnsi="Arial Narrow" w:cs="Arial"/>
          <w:szCs w:val="22"/>
        </w:rPr>
      </w:pPr>
      <w:r w:rsidRPr="001A56CC">
        <w:rPr>
          <w:rFonts w:ascii="Arial Narrow" w:hAnsi="Arial Narrow" w:cs="Arial"/>
          <w:szCs w:val="22"/>
        </w:rPr>
        <w:t>Socio del Instituto y Colegio de Contadores Públicos de Chihuahua, A.C.</w:t>
      </w:r>
    </w:p>
    <w:p w:rsidR="001A56CC" w:rsidRPr="001A56CC" w:rsidRDefault="001A56CC" w:rsidP="001A56CC">
      <w:pPr>
        <w:numPr>
          <w:ilvl w:val="0"/>
          <w:numId w:val="30"/>
        </w:numPr>
        <w:rPr>
          <w:rFonts w:ascii="Arial Narrow" w:hAnsi="Arial Narrow" w:cs="Arial"/>
          <w:szCs w:val="22"/>
        </w:rPr>
      </w:pPr>
      <w:r w:rsidRPr="001A56CC">
        <w:rPr>
          <w:rFonts w:ascii="Arial Narrow" w:hAnsi="Arial Narrow" w:cs="Arial"/>
          <w:szCs w:val="22"/>
        </w:rPr>
        <w:t>Expositor en Estrategias Fiscales y Litigio para Contadores Públicos</w:t>
      </w:r>
    </w:p>
    <w:p w:rsidR="001A56CC" w:rsidRPr="001A56CC" w:rsidRDefault="001A56CC" w:rsidP="001A56CC">
      <w:pPr>
        <w:ind w:left="720"/>
        <w:rPr>
          <w:rFonts w:ascii="Arial Narrow" w:hAnsi="Arial Narrow" w:cs="Arial"/>
          <w:szCs w:val="22"/>
        </w:rPr>
      </w:pPr>
    </w:p>
    <w:p w:rsidR="001A56CC" w:rsidRPr="001A56CC" w:rsidRDefault="001A56CC" w:rsidP="001A56CC">
      <w:pPr>
        <w:rPr>
          <w:rFonts w:ascii="Arial Narrow" w:hAnsi="Arial Narrow" w:cs="Arial"/>
          <w:szCs w:val="22"/>
        </w:rPr>
      </w:pPr>
    </w:p>
    <w:p w:rsidR="001A56CC" w:rsidRPr="001A56CC" w:rsidRDefault="001A56CC" w:rsidP="001A56CC">
      <w:pPr>
        <w:ind w:left="720"/>
        <w:rPr>
          <w:rFonts w:ascii="Arial Narrow" w:hAnsi="Arial Narrow" w:cs="Arial"/>
          <w:szCs w:val="22"/>
        </w:rPr>
      </w:pPr>
    </w:p>
    <w:p w:rsidR="00D52F27" w:rsidRPr="001A56CC" w:rsidRDefault="001A56CC" w:rsidP="00D52F27">
      <w:pPr>
        <w:ind w:left="720"/>
        <w:rPr>
          <w:rFonts w:ascii="Arial Narrow" w:hAnsi="Arial Narrow"/>
          <w:sz w:val="28"/>
        </w:rPr>
      </w:pPr>
      <w:r w:rsidRPr="001A56CC">
        <w:rPr>
          <w:rFonts w:ascii="Arial Narrow" w:hAnsi="Arial Narrow"/>
          <w:shadow/>
          <w:color w:val="1F497D"/>
          <w:sz w:val="44"/>
          <w:u w:val="single"/>
        </w:rPr>
        <w:t xml:space="preserve"> </w:t>
      </w:r>
    </w:p>
    <w:p w:rsidR="00565225" w:rsidRPr="001A56CC" w:rsidRDefault="00565225" w:rsidP="00EE17E1">
      <w:pPr>
        <w:rPr>
          <w:rFonts w:ascii="Arial Narrow" w:hAnsi="Arial Narrow"/>
          <w:sz w:val="22"/>
        </w:rPr>
      </w:pPr>
    </w:p>
    <w:sectPr w:rsidR="00565225" w:rsidRPr="001A56CC" w:rsidSect="00C457AB">
      <w:headerReference w:type="default" r:id="rId7"/>
      <w:footerReference w:type="default" r:id="rId8"/>
      <w:pgSz w:w="11906" w:h="16838"/>
      <w:pgMar w:top="1417" w:right="1106" w:bottom="1417"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A98" w:rsidRDefault="00342A98">
      <w:r>
        <w:separator/>
      </w:r>
    </w:p>
  </w:endnote>
  <w:endnote w:type="continuationSeparator" w:id="0">
    <w:p w:rsidR="00342A98" w:rsidRDefault="0034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05" w:rsidRDefault="00185D05" w:rsidP="00185D05">
    <w:pPr>
      <w:pStyle w:val="Piedepgina"/>
      <w:jc w:val="center"/>
      <w:rPr>
        <w:rFonts w:ascii="Arial Narrow" w:hAnsi="Arial Narrow"/>
        <w:b/>
      </w:rPr>
    </w:pPr>
  </w:p>
  <w:p w:rsidR="00185D05" w:rsidRDefault="00185D05" w:rsidP="00185D05">
    <w:pPr>
      <w:pStyle w:val="Piedepgina"/>
      <w:jc w:val="center"/>
      <w:rPr>
        <w:rFonts w:ascii="Arial Narrow" w:hAnsi="Arial Narrow"/>
        <w:b/>
      </w:rPr>
    </w:pPr>
    <w:r>
      <w:rPr>
        <w:noProof/>
      </w:rPr>
      <w:pict>
        <v:line id="_x0000_s2055" style="position:absolute;left:0;text-align:left;z-index:3" from="0,3.45pt" to="486pt,3.45pt" strokecolor="#936" strokeweight="2.25pt"/>
      </w:pict>
    </w:r>
  </w:p>
  <w:p w:rsidR="00185D05" w:rsidRPr="006F0478" w:rsidRDefault="00185D05" w:rsidP="00185D05">
    <w:pPr>
      <w:pStyle w:val="Piedepgina"/>
      <w:jc w:val="center"/>
      <w:rPr>
        <w:rFonts w:ascii="Calibri" w:hAnsi="Calibri"/>
        <w:b/>
        <w:sz w:val="28"/>
        <w:szCs w:val="28"/>
      </w:rPr>
    </w:pPr>
    <w:r w:rsidRPr="006F0478">
      <w:rPr>
        <w:rFonts w:ascii="Calibri" w:hAnsi="Calibri"/>
        <w:b/>
        <w:sz w:val="28"/>
        <w:szCs w:val="28"/>
      </w:rPr>
      <w:t xml:space="preserve">Calle </w:t>
    </w:r>
    <w:r w:rsidR="006F0478" w:rsidRPr="006F0478">
      <w:rPr>
        <w:rFonts w:ascii="Calibri" w:hAnsi="Calibri"/>
        <w:b/>
        <w:sz w:val="28"/>
        <w:szCs w:val="28"/>
      </w:rPr>
      <w:t xml:space="preserve">Valentín </w:t>
    </w:r>
    <w:r w:rsidRPr="006F0478">
      <w:rPr>
        <w:rFonts w:ascii="Calibri" w:hAnsi="Calibri"/>
        <w:b/>
        <w:sz w:val="28"/>
        <w:szCs w:val="28"/>
      </w:rPr>
      <w:t xml:space="preserve">Gómez </w:t>
    </w:r>
    <w:r w:rsidR="006F0478" w:rsidRPr="006F0478">
      <w:rPr>
        <w:rFonts w:ascii="Calibri" w:hAnsi="Calibri"/>
        <w:b/>
        <w:sz w:val="28"/>
        <w:szCs w:val="28"/>
      </w:rPr>
      <w:t>Farías</w:t>
    </w:r>
    <w:r w:rsidRPr="006F0478">
      <w:rPr>
        <w:rFonts w:ascii="Calibri" w:hAnsi="Calibri"/>
        <w:b/>
        <w:sz w:val="28"/>
        <w:szCs w:val="28"/>
      </w:rPr>
      <w:t xml:space="preserve">  302</w:t>
    </w:r>
    <w:r w:rsidR="006F0478">
      <w:rPr>
        <w:rFonts w:ascii="Calibri" w:hAnsi="Calibri"/>
        <w:b/>
        <w:sz w:val="28"/>
        <w:szCs w:val="28"/>
      </w:rPr>
      <w:t>,</w:t>
    </w:r>
    <w:r w:rsidRPr="006F0478">
      <w:rPr>
        <w:rFonts w:ascii="Calibri" w:hAnsi="Calibri"/>
        <w:b/>
        <w:sz w:val="28"/>
        <w:szCs w:val="28"/>
      </w:rPr>
      <w:t xml:space="preserve"> </w:t>
    </w:r>
    <w:r w:rsidR="006F0478" w:rsidRPr="006F0478">
      <w:rPr>
        <w:rFonts w:ascii="Calibri" w:hAnsi="Calibri"/>
        <w:b/>
        <w:sz w:val="28"/>
        <w:szCs w:val="28"/>
      </w:rPr>
      <w:t>Centro Histórico</w:t>
    </w:r>
    <w:r w:rsidR="006F0478">
      <w:rPr>
        <w:rFonts w:ascii="Calibri" w:hAnsi="Calibri"/>
        <w:b/>
        <w:sz w:val="28"/>
        <w:szCs w:val="28"/>
      </w:rPr>
      <w:t xml:space="preserve"> </w:t>
    </w:r>
    <w:r w:rsidRPr="006F0478">
      <w:rPr>
        <w:rFonts w:ascii="Calibri" w:hAnsi="Calibri"/>
        <w:b/>
        <w:sz w:val="28"/>
        <w:szCs w:val="28"/>
      </w:rPr>
      <w:t xml:space="preserve"> CP 31000</w:t>
    </w:r>
  </w:p>
  <w:p w:rsidR="00185D05" w:rsidRPr="006F0478" w:rsidRDefault="00185D05" w:rsidP="00185D05">
    <w:pPr>
      <w:pStyle w:val="Piedepgina"/>
      <w:jc w:val="center"/>
      <w:rPr>
        <w:rFonts w:ascii="Calibri" w:hAnsi="Calibri" w:cs="Aharoni"/>
        <w:sz w:val="28"/>
        <w:szCs w:val="28"/>
      </w:rPr>
    </w:pPr>
    <w:r w:rsidRPr="006F0478">
      <w:rPr>
        <w:rFonts w:ascii="Calibri" w:hAnsi="Calibri"/>
        <w:b/>
        <w:sz w:val="28"/>
        <w:szCs w:val="28"/>
      </w:rPr>
      <w:t>Chihuahua, Chih. Méxi</w:t>
    </w:r>
    <w:r w:rsidR="009A192A" w:rsidRPr="006F0478">
      <w:rPr>
        <w:rFonts w:ascii="Calibri" w:hAnsi="Calibri"/>
        <w:b/>
        <w:sz w:val="28"/>
        <w:szCs w:val="28"/>
      </w:rPr>
      <w:t xml:space="preserve">co  </w:t>
    </w:r>
    <w:r w:rsidR="00356101" w:rsidRPr="006F0478">
      <w:rPr>
        <w:rFonts w:ascii="Calibri" w:hAnsi="Calibri" w:cs="Aharoni"/>
        <w:sz w:val="28"/>
        <w:szCs w:val="28"/>
      </w:rPr>
      <w:t>jgonzalez@itfiscal.com.mx</w:t>
    </w:r>
  </w:p>
  <w:p w:rsidR="00185D05" w:rsidRPr="00356101" w:rsidRDefault="00185D05">
    <w:pPr>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A98" w:rsidRDefault="00342A98">
      <w:r>
        <w:separator/>
      </w:r>
    </w:p>
  </w:footnote>
  <w:footnote w:type="continuationSeparator" w:id="0">
    <w:p w:rsidR="00342A98" w:rsidRDefault="00342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9EA" w:rsidRDefault="008759EA">
    <w:pPr>
      <w:pStyle w:val="Encabezado"/>
    </w:pPr>
    <w:r>
      <w:rPr>
        <w:noProof/>
      </w:rPr>
      <w:pict>
        <v:rect id="_x0000_s2051" style="position:absolute;margin-left:306pt;margin-top:-7.3pt;width:189pt;height:81pt;z-index:1" stroked="f">
          <v:textbox style="mso-next-textbox:#_x0000_s2051">
            <w:txbxContent>
              <w:p w:rsidR="008759EA" w:rsidRPr="003A7DF3" w:rsidRDefault="008759EA" w:rsidP="008759EA">
                <w:pPr>
                  <w:rPr>
                    <w:rFonts w:ascii="Impact" w:hAnsi="Impact"/>
                    <w:b/>
                    <w:color w:val="800080"/>
                    <w:sz w:val="40"/>
                    <w:szCs w:val="40"/>
                  </w:rPr>
                </w:pPr>
                <w:r w:rsidRPr="003A7DF3">
                  <w:rPr>
                    <w:rFonts w:ascii="Impact" w:hAnsi="Impact"/>
                    <w:b/>
                    <w:color w:val="800080"/>
                    <w:sz w:val="40"/>
                    <w:szCs w:val="40"/>
                  </w:rPr>
                  <w:t xml:space="preserve">C </w:t>
                </w:r>
                <w:r w:rsidR="00185D05" w:rsidRPr="003A7DF3">
                  <w:rPr>
                    <w:rFonts w:ascii="Impact" w:hAnsi="Impact"/>
                    <w:b/>
                    <w:color w:val="800080"/>
                    <w:sz w:val="40"/>
                    <w:szCs w:val="40"/>
                  </w:rPr>
                  <w:t xml:space="preserve"> </w:t>
                </w:r>
                <w:r w:rsidRPr="003A7DF3">
                  <w:rPr>
                    <w:rFonts w:ascii="Impact" w:hAnsi="Impact"/>
                    <w:b/>
                    <w:color w:val="800080"/>
                    <w:sz w:val="40"/>
                    <w:szCs w:val="40"/>
                  </w:rPr>
                  <w:t xml:space="preserve">C </w:t>
                </w:r>
                <w:r w:rsidR="00185D05" w:rsidRPr="003A7DF3">
                  <w:rPr>
                    <w:rFonts w:ascii="Impact" w:hAnsi="Impact"/>
                    <w:b/>
                    <w:color w:val="800080"/>
                    <w:sz w:val="40"/>
                    <w:szCs w:val="40"/>
                  </w:rPr>
                  <w:t xml:space="preserve"> </w:t>
                </w:r>
                <w:r w:rsidRPr="003A7DF3">
                  <w:rPr>
                    <w:rFonts w:ascii="Impact" w:hAnsi="Impact"/>
                    <w:b/>
                    <w:color w:val="800080"/>
                    <w:sz w:val="40"/>
                    <w:szCs w:val="40"/>
                  </w:rPr>
                  <w:t>Fiscal,</w:t>
                </w:r>
                <w:r w:rsidR="00185D05" w:rsidRPr="003A7DF3">
                  <w:rPr>
                    <w:rFonts w:ascii="Impact" w:hAnsi="Impact"/>
                    <w:b/>
                    <w:color w:val="800080"/>
                    <w:sz w:val="40"/>
                    <w:szCs w:val="40"/>
                  </w:rPr>
                  <w:t xml:space="preserve"> </w:t>
                </w:r>
                <w:r w:rsidRPr="003A7DF3">
                  <w:rPr>
                    <w:rFonts w:ascii="Impact" w:hAnsi="Impact"/>
                    <w:b/>
                    <w:color w:val="800080"/>
                    <w:sz w:val="40"/>
                    <w:szCs w:val="40"/>
                  </w:rPr>
                  <w:t xml:space="preserve"> S.</w:t>
                </w:r>
                <w:r w:rsidR="00185D05" w:rsidRPr="003A7DF3">
                  <w:rPr>
                    <w:rFonts w:ascii="Impact" w:hAnsi="Impact"/>
                    <w:b/>
                    <w:color w:val="800080"/>
                    <w:sz w:val="40"/>
                    <w:szCs w:val="40"/>
                  </w:rPr>
                  <w:t xml:space="preserve"> </w:t>
                </w:r>
                <w:r w:rsidRPr="003A7DF3">
                  <w:rPr>
                    <w:rFonts w:ascii="Impact" w:hAnsi="Impact"/>
                    <w:b/>
                    <w:color w:val="800080"/>
                    <w:sz w:val="40"/>
                    <w:szCs w:val="40"/>
                  </w:rPr>
                  <w:t>C.</w:t>
                </w:r>
              </w:p>
              <w:p w:rsidR="00185D05" w:rsidRPr="003A7DF3" w:rsidRDefault="00185D05" w:rsidP="008759EA">
                <w:pPr>
                  <w:rPr>
                    <w:rFonts w:ascii="Impact" w:hAnsi="Impact"/>
                    <w:sz w:val="22"/>
                    <w:szCs w:val="22"/>
                  </w:rPr>
                </w:pPr>
                <w:r w:rsidRPr="003A7DF3">
                  <w:rPr>
                    <w:rFonts w:ascii="Impact" w:hAnsi="Impact"/>
                    <w:sz w:val="22"/>
                    <w:szCs w:val="22"/>
                  </w:rPr>
                  <w:t>Consultor</w:t>
                </w:r>
                <w:r w:rsidR="00346EA6" w:rsidRPr="003A7DF3">
                  <w:rPr>
                    <w:rFonts w:ascii="Impact" w:hAnsi="Impact"/>
                    <w:sz w:val="22"/>
                    <w:szCs w:val="22"/>
                  </w:rPr>
                  <w:t>ia     Corporativa      y     Fiscal</w:t>
                </w:r>
              </w:p>
              <w:p w:rsidR="008759EA" w:rsidRPr="003A7DF3" w:rsidRDefault="00185D05" w:rsidP="008759EA">
                <w:pPr>
                  <w:rPr>
                    <w:rFonts w:ascii="Impact" w:hAnsi="Impact"/>
                    <w:sz w:val="22"/>
                    <w:szCs w:val="22"/>
                  </w:rPr>
                </w:pPr>
                <w:r w:rsidRPr="003A7DF3">
                  <w:rPr>
                    <w:rFonts w:ascii="Impact" w:hAnsi="Impact"/>
                    <w:sz w:val="22"/>
                    <w:szCs w:val="22"/>
                  </w:rPr>
                  <w:t xml:space="preserve">Defensa </w:t>
                </w:r>
                <w:r w:rsidR="00346EA6" w:rsidRPr="003A7DF3">
                  <w:rPr>
                    <w:rFonts w:ascii="Impact" w:hAnsi="Impact"/>
                    <w:sz w:val="22"/>
                    <w:szCs w:val="22"/>
                  </w:rPr>
                  <w:t xml:space="preserve">  </w:t>
                </w:r>
                <w:r w:rsidRPr="003A7DF3">
                  <w:rPr>
                    <w:rFonts w:ascii="Impact" w:hAnsi="Impact"/>
                    <w:sz w:val="22"/>
                    <w:szCs w:val="22"/>
                  </w:rPr>
                  <w:t>y</w:t>
                </w:r>
                <w:r w:rsidR="00346EA6" w:rsidRPr="003A7DF3">
                  <w:rPr>
                    <w:rFonts w:ascii="Impact" w:hAnsi="Impact"/>
                    <w:sz w:val="22"/>
                    <w:szCs w:val="22"/>
                  </w:rPr>
                  <w:t xml:space="preserve"> </w:t>
                </w:r>
                <w:r w:rsidRPr="003A7DF3">
                  <w:rPr>
                    <w:rFonts w:ascii="Impact" w:hAnsi="Impact"/>
                    <w:sz w:val="22"/>
                    <w:szCs w:val="22"/>
                  </w:rPr>
                  <w:t xml:space="preserve"> </w:t>
                </w:r>
                <w:r w:rsidR="00346EA6" w:rsidRPr="003A7DF3">
                  <w:rPr>
                    <w:rFonts w:ascii="Impact" w:hAnsi="Impact"/>
                    <w:sz w:val="22"/>
                    <w:szCs w:val="22"/>
                  </w:rPr>
                  <w:t xml:space="preserve"> </w:t>
                </w:r>
                <w:r w:rsidRPr="003A7DF3">
                  <w:rPr>
                    <w:rFonts w:ascii="Impact" w:hAnsi="Impact"/>
                    <w:sz w:val="22"/>
                    <w:szCs w:val="22"/>
                  </w:rPr>
                  <w:t>Planeacion</w:t>
                </w:r>
                <w:r w:rsidR="00346EA6" w:rsidRPr="003A7DF3">
                  <w:rPr>
                    <w:rFonts w:ascii="Impact" w:hAnsi="Impact"/>
                    <w:sz w:val="22"/>
                    <w:szCs w:val="22"/>
                  </w:rPr>
                  <w:t xml:space="preserve">  </w:t>
                </w:r>
                <w:r w:rsidRPr="003A7DF3">
                  <w:rPr>
                    <w:rFonts w:ascii="Impact" w:hAnsi="Impact"/>
                    <w:sz w:val="22"/>
                    <w:szCs w:val="22"/>
                  </w:rPr>
                  <w:t xml:space="preserve"> Fiscal</w:t>
                </w:r>
                <w:r w:rsidR="00346EA6" w:rsidRPr="003A7DF3">
                  <w:rPr>
                    <w:rFonts w:ascii="Impact" w:hAnsi="Impact"/>
                    <w:sz w:val="22"/>
                    <w:szCs w:val="22"/>
                  </w:rPr>
                  <w:t xml:space="preserve">   </w:t>
                </w:r>
                <w:r w:rsidRPr="003A7DF3">
                  <w:rPr>
                    <w:rFonts w:ascii="Impact" w:hAnsi="Impact"/>
                    <w:sz w:val="22"/>
                    <w:szCs w:val="22"/>
                  </w:rPr>
                  <w:t xml:space="preserve"> Legal</w:t>
                </w:r>
              </w:p>
              <w:p w:rsidR="008759EA" w:rsidRPr="00631F82" w:rsidRDefault="00185D05" w:rsidP="008759EA">
                <w:pPr>
                  <w:rPr>
                    <w:rFonts w:ascii="Impact" w:hAnsi="Impact"/>
                    <w:color w:val="1F497D"/>
                  </w:rPr>
                </w:pPr>
                <w:r w:rsidRPr="00631F82">
                  <w:rPr>
                    <w:rFonts w:ascii="Impact" w:hAnsi="Impact"/>
                    <w:color w:val="1F497D"/>
                  </w:rPr>
                  <w:t xml:space="preserve"> </w:t>
                </w:r>
                <w:r w:rsidR="00356101" w:rsidRPr="00631F82">
                  <w:rPr>
                    <w:rFonts w:ascii="Impact" w:hAnsi="Impact"/>
                    <w:color w:val="1F497D"/>
                  </w:rPr>
                  <w:t>www.itfiscal.com.mx</w:t>
                </w:r>
              </w:p>
              <w:p w:rsidR="008759EA" w:rsidRPr="008759EA" w:rsidRDefault="008759EA"/>
            </w:txbxContent>
          </v:textbox>
        </v:rect>
      </w:pict>
    </w:r>
    <w:r w:rsidR="00BF2776" w:rsidRPr="002B055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0.5pt">
          <v:imagedata r:id="rId1" o:title="cc&amp;f_logo"/>
        </v:shape>
      </w:pict>
    </w:r>
  </w:p>
  <w:p w:rsidR="008759EA" w:rsidRDefault="00185D05">
    <w:pPr>
      <w:pStyle w:val="Encabezado"/>
    </w:pPr>
    <w:r>
      <w:rPr>
        <w:noProof/>
      </w:rPr>
      <w:pict>
        <v:line id="_x0000_s2054" style="position:absolute;z-index:2" from="0,11.2pt" to="486pt,11.2pt" strokecolor="#936" strokeweight="2.25pt"/>
      </w:pict>
    </w:r>
  </w:p>
  <w:p w:rsidR="008759EA" w:rsidRDefault="008759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0C7A"/>
    <w:multiLevelType w:val="hybridMultilevel"/>
    <w:tmpl w:val="98CC6A4E"/>
    <w:lvl w:ilvl="0" w:tplc="080A000B">
      <w:start w:val="1"/>
      <w:numFmt w:val="bullet"/>
      <w:lvlText w:val=""/>
      <w:lvlJc w:val="left"/>
      <w:pPr>
        <w:tabs>
          <w:tab w:val="num" w:pos="2520"/>
        </w:tabs>
        <w:ind w:left="2520" w:hanging="360"/>
      </w:pPr>
      <w:rPr>
        <w:rFonts w:ascii="Wingdings" w:hAnsi="Wingdings" w:hint="default"/>
      </w:rPr>
    </w:lvl>
    <w:lvl w:ilvl="1" w:tplc="080A0003" w:tentative="1">
      <w:start w:val="1"/>
      <w:numFmt w:val="bullet"/>
      <w:lvlText w:val="o"/>
      <w:lvlJc w:val="left"/>
      <w:pPr>
        <w:tabs>
          <w:tab w:val="num" w:pos="3240"/>
        </w:tabs>
        <w:ind w:left="3240" w:hanging="360"/>
      </w:pPr>
      <w:rPr>
        <w:rFonts w:ascii="Courier New" w:hAnsi="Courier New" w:cs="Courier New" w:hint="default"/>
      </w:rPr>
    </w:lvl>
    <w:lvl w:ilvl="2" w:tplc="080A0005" w:tentative="1">
      <w:start w:val="1"/>
      <w:numFmt w:val="bullet"/>
      <w:lvlText w:val=""/>
      <w:lvlJc w:val="left"/>
      <w:pPr>
        <w:tabs>
          <w:tab w:val="num" w:pos="3960"/>
        </w:tabs>
        <w:ind w:left="3960" w:hanging="360"/>
      </w:pPr>
      <w:rPr>
        <w:rFonts w:ascii="Wingdings" w:hAnsi="Wingdings" w:hint="default"/>
      </w:rPr>
    </w:lvl>
    <w:lvl w:ilvl="3" w:tplc="080A0001" w:tentative="1">
      <w:start w:val="1"/>
      <w:numFmt w:val="bullet"/>
      <w:lvlText w:val=""/>
      <w:lvlJc w:val="left"/>
      <w:pPr>
        <w:tabs>
          <w:tab w:val="num" w:pos="4680"/>
        </w:tabs>
        <w:ind w:left="4680" w:hanging="360"/>
      </w:pPr>
      <w:rPr>
        <w:rFonts w:ascii="Symbol" w:hAnsi="Symbol" w:hint="default"/>
      </w:rPr>
    </w:lvl>
    <w:lvl w:ilvl="4" w:tplc="080A0003" w:tentative="1">
      <w:start w:val="1"/>
      <w:numFmt w:val="bullet"/>
      <w:lvlText w:val="o"/>
      <w:lvlJc w:val="left"/>
      <w:pPr>
        <w:tabs>
          <w:tab w:val="num" w:pos="5400"/>
        </w:tabs>
        <w:ind w:left="5400" w:hanging="360"/>
      </w:pPr>
      <w:rPr>
        <w:rFonts w:ascii="Courier New" w:hAnsi="Courier New" w:cs="Courier New" w:hint="default"/>
      </w:rPr>
    </w:lvl>
    <w:lvl w:ilvl="5" w:tplc="080A0005" w:tentative="1">
      <w:start w:val="1"/>
      <w:numFmt w:val="bullet"/>
      <w:lvlText w:val=""/>
      <w:lvlJc w:val="left"/>
      <w:pPr>
        <w:tabs>
          <w:tab w:val="num" w:pos="6120"/>
        </w:tabs>
        <w:ind w:left="6120" w:hanging="360"/>
      </w:pPr>
      <w:rPr>
        <w:rFonts w:ascii="Wingdings" w:hAnsi="Wingdings" w:hint="default"/>
      </w:rPr>
    </w:lvl>
    <w:lvl w:ilvl="6" w:tplc="080A0001" w:tentative="1">
      <w:start w:val="1"/>
      <w:numFmt w:val="bullet"/>
      <w:lvlText w:val=""/>
      <w:lvlJc w:val="left"/>
      <w:pPr>
        <w:tabs>
          <w:tab w:val="num" w:pos="6840"/>
        </w:tabs>
        <w:ind w:left="6840" w:hanging="360"/>
      </w:pPr>
      <w:rPr>
        <w:rFonts w:ascii="Symbol" w:hAnsi="Symbol" w:hint="default"/>
      </w:rPr>
    </w:lvl>
    <w:lvl w:ilvl="7" w:tplc="080A0003" w:tentative="1">
      <w:start w:val="1"/>
      <w:numFmt w:val="bullet"/>
      <w:lvlText w:val="o"/>
      <w:lvlJc w:val="left"/>
      <w:pPr>
        <w:tabs>
          <w:tab w:val="num" w:pos="7560"/>
        </w:tabs>
        <w:ind w:left="7560" w:hanging="360"/>
      </w:pPr>
      <w:rPr>
        <w:rFonts w:ascii="Courier New" w:hAnsi="Courier New" w:cs="Courier New" w:hint="default"/>
      </w:rPr>
    </w:lvl>
    <w:lvl w:ilvl="8" w:tplc="080A0005" w:tentative="1">
      <w:start w:val="1"/>
      <w:numFmt w:val="bullet"/>
      <w:lvlText w:val=""/>
      <w:lvlJc w:val="left"/>
      <w:pPr>
        <w:tabs>
          <w:tab w:val="num" w:pos="8280"/>
        </w:tabs>
        <w:ind w:left="8280" w:hanging="360"/>
      </w:pPr>
      <w:rPr>
        <w:rFonts w:ascii="Wingdings" w:hAnsi="Wingdings" w:hint="default"/>
      </w:rPr>
    </w:lvl>
  </w:abstractNum>
  <w:abstractNum w:abstractNumId="1">
    <w:nsid w:val="02F4745E"/>
    <w:multiLevelType w:val="hybridMultilevel"/>
    <w:tmpl w:val="F11098D2"/>
    <w:lvl w:ilvl="0" w:tplc="080A0005">
      <w:start w:val="1"/>
      <w:numFmt w:val="bullet"/>
      <w:lvlText w:val=""/>
      <w:lvlJc w:val="left"/>
      <w:pPr>
        <w:tabs>
          <w:tab w:val="num" w:pos="3600"/>
        </w:tabs>
        <w:ind w:left="360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3C12DC6"/>
    <w:multiLevelType w:val="hybridMultilevel"/>
    <w:tmpl w:val="A5B23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44C128E"/>
    <w:multiLevelType w:val="multilevel"/>
    <w:tmpl w:val="F5D81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A906F7"/>
    <w:multiLevelType w:val="hybridMultilevel"/>
    <w:tmpl w:val="D618E95C"/>
    <w:lvl w:ilvl="0" w:tplc="080A0005">
      <w:start w:val="1"/>
      <w:numFmt w:val="bullet"/>
      <w:lvlText w:val=""/>
      <w:lvlJc w:val="left"/>
      <w:pPr>
        <w:tabs>
          <w:tab w:val="num" w:pos="3600"/>
        </w:tabs>
        <w:ind w:left="360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7FE41A5"/>
    <w:multiLevelType w:val="hybridMultilevel"/>
    <w:tmpl w:val="302C7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CA71D4"/>
    <w:multiLevelType w:val="hybridMultilevel"/>
    <w:tmpl w:val="477256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D23481"/>
    <w:multiLevelType w:val="hybridMultilevel"/>
    <w:tmpl w:val="D9867C9C"/>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E1A0B1E"/>
    <w:multiLevelType w:val="hybridMultilevel"/>
    <w:tmpl w:val="6FA804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0632297"/>
    <w:multiLevelType w:val="hybridMultilevel"/>
    <w:tmpl w:val="61162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6213B5"/>
    <w:multiLevelType w:val="hybridMultilevel"/>
    <w:tmpl w:val="FAE6D2D4"/>
    <w:lvl w:ilvl="0" w:tplc="080A000F">
      <w:start w:val="1"/>
      <w:numFmt w:val="decimal"/>
      <w:lvlText w:val="%1."/>
      <w:lvlJc w:val="left"/>
      <w:pPr>
        <w:tabs>
          <w:tab w:val="num" w:pos="1080"/>
        </w:tabs>
        <w:ind w:left="1080" w:hanging="360"/>
      </w:pPr>
    </w:lvl>
    <w:lvl w:ilvl="1" w:tplc="080A000B">
      <w:start w:val="1"/>
      <w:numFmt w:val="bullet"/>
      <w:lvlText w:val=""/>
      <w:lvlJc w:val="left"/>
      <w:pPr>
        <w:tabs>
          <w:tab w:val="num" w:pos="1800"/>
        </w:tabs>
        <w:ind w:left="1800" w:hanging="360"/>
      </w:pPr>
      <w:rPr>
        <w:rFonts w:ascii="Wingdings" w:hAnsi="Wingdings" w:hint="default"/>
      </w:r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11">
    <w:nsid w:val="25101727"/>
    <w:multiLevelType w:val="hybridMultilevel"/>
    <w:tmpl w:val="C2C8EDB8"/>
    <w:lvl w:ilvl="0" w:tplc="080A0005">
      <w:start w:val="1"/>
      <w:numFmt w:val="bullet"/>
      <w:lvlText w:val=""/>
      <w:lvlJc w:val="left"/>
      <w:pPr>
        <w:tabs>
          <w:tab w:val="num" w:pos="3600"/>
        </w:tabs>
        <w:ind w:left="360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6E67A8C"/>
    <w:multiLevelType w:val="hybridMultilevel"/>
    <w:tmpl w:val="4FF284E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2B923EDB"/>
    <w:multiLevelType w:val="hybridMultilevel"/>
    <w:tmpl w:val="B522608C"/>
    <w:lvl w:ilvl="0" w:tplc="5F1E5BF8">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4">
    <w:nsid w:val="34FD1C8C"/>
    <w:multiLevelType w:val="hybridMultilevel"/>
    <w:tmpl w:val="8C1218C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337D67"/>
    <w:multiLevelType w:val="hybridMultilevel"/>
    <w:tmpl w:val="3D8A4EE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3930189A"/>
    <w:multiLevelType w:val="hybridMultilevel"/>
    <w:tmpl w:val="14DE0F9E"/>
    <w:lvl w:ilvl="0" w:tplc="080A0005">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7">
    <w:nsid w:val="3AA91208"/>
    <w:multiLevelType w:val="hybridMultilevel"/>
    <w:tmpl w:val="D6423D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BF72F2C"/>
    <w:multiLevelType w:val="hybridMultilevel"/>
    <w:tmpl w:val="C524AA7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42B13823"/>
    <w:multiLevelType w:val="multilevel"/>
    <w:tmpl w:val="AA7AB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97D09AD"/>
    <w:multiLevelType w:val="hybridMultilevel"/>
    <w:tmpl w:val="A5B0E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D54500B"/>
    <w:multiLevelType w:val="hybridMultilevel"/>
    <w:tmpl w:val="F760A9E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nsid w:val="50C4437F"/>
    <w:multiLevelType w:val="hybridMultilevel"/>
    <w:tmpl w:val="9F0E7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5D773CF"/>
    <w:multiLevelType w:val="hybridMultilevel"/>
    <w:tmpl w:val="6082DC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9304A31"/>
    <w:multiLevelType w:val="hybridMultilevel"/>
    <w:tmpl w:val="D92603D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nsid w:val="5E06532A"/>
    <w:multiLevelType w:val="hybridMultilevel"/>
    <w:tmpl w:val="98E62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F451F53"/>
    <w:multiLevelType w:val="hybridMultilevel"/>
    <w:tmpl w:val="F3C693E6"/>
    <w:lvl w:ilvl="0" w:tplc="080A000F">
      <w:start w:val="1"/>
      <w:numFmt w:val="decimal"/>
      <w:lvlText w:val="%1."/>
      <w:lvlJc w:val="left"/>
      <w:pPr>
        <w:tabs>
          <w:tab w:val="num" w:pos="1080"/>
        </w:tabs>
        <w:ind w:left="1080" w:hanging="360"/>
      </w:pPr>
    </w:lvl>
    <w:lvl w:ilvl="1" w:tplc="080A0019" w:tentative="1">
      <w:start w:val="1"/>
      <w:numFmt w:val="lowerLetter"/>
      <w:lvlText w:val="%2."/>
      <w:lvlJc w:val="left"/>
      <w:pPr>
        <w:tabs>
          <w:tab w:val="num" w:pos="1800"/>
        </w:tabs>
        <w:ind w:left="1800" w:hanging="360"/>
      </w:p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27">
    <w:nsid w:val="5FBE3913"/>
    <w:multiLevelType w:val="hybridMultilevel"/>
    <w:tmpl w:val="C0088B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FDF29BA"/>
    <w:multiLevelType w:val="hybridMultilevel"/>
    <w:tmpl w:val="A822D00C"/>
    <w:lvl w:ilvl="0" w:tplc="0C0A000F">
      <w:start w:val="1"/>
      <w:numFmt w:val="decimal"/>
      <w:lvlText w:val="%1."/>
      <w:lvlJc w:val="left"/>
      <w:pPr>
        <w:tabs>
          <w:tab w:val="num" w:pos="360"/>
        </w:tabs>
        <w:ind w:left="360" w:hanging="360"/>
      </w:pPr>
    </w:lvl>
    <w:lvl w:ilvl="1" w:tplc="080A0005">
      <w:start w:val="1"/>
      <w:numFmt w:val="bullet"/>
      <w:lvlText w:val=""/>
      <w:lvlJc w:val="left"/>
      <w:pPr>
        <w:tabs>
          <w:tab w:val="num" w:pos="1080"/>
        </w:tabs>
        <w:ind w:left="1080" w:hanging="360"/>
      </w:pPr>
      <w:rPr>
        <w:rFonts w:ascii="Wingdings" w:hAnsi="Wingdings"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nsid w:val="6F817C78"/>
    <w:multiLevelType w:val="hybridMultilevel"/>
    <w:tmpl w:val="DBDC02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32D620C"/>
    <w:multiLevelType w:val="multilevel"/>
    <w:tmpl w:val="55925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35976BF"/>
    <w:multiLevelType w:val="hybridMultilevel"/>
    <w:tmpl w:val="B3FEC2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74745FAE"/>
    <w:multiLevelType w:val="hybridMultilevel"/>
    <w:tmpl w:val="BC6E5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B1D5A02"/>
    <w:multiLevelType w:val="hybridMultilevel"/>
    <w:tmpl w:val="6C126B3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nsid w:val="7B456C48"/>
    <w:multiLevelType w:val="hybridMultilevel"/>
    <w:tmpl w:val="C0C4B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BFA7042"/>
    <w:multiLevelType w:val="hybridMultilevel"/>
    <w:tmpl w:val="29F64284"/>
    <w:lvl w:ilvl="0" w:tplc="080A0005">
      <w:start w:val="1"/>
      <w:numFmt w:val="bullet"/>
      <w:lvlText w:val=""/>
      <w:lvlJc w:val="left"/>
      <w:pPr>
        <w:tabs>
          <w:tab w:val="num" w:pos="720"/>
        </w:tabs>
        <w:ind w:left="720" w:hanging="360"/>
      </w:pPr>
      <w:rPr>
        <w:rFonts w:ascii="Wingdings" w:hAnsi="Wingdings" w:hint="default"/>
      </w:rPr>
    </w:lvl>
    <w:lvl w:ilvl="1" w:tplc="080A0001">
      <w:start w:val="1"/>
      <w:numFmt w:val="bullet"/>
      <w:lvlText w:val=""/>
      <w:lvlJc w:val="left"/>
      <w:pPr>
        <w:tabs>
          <w:tab w:val="num" w:pos="1440"/>
        </w:tabs>
        <w:ind w:left="1440" w:hanging="360"/>
      </w:pPr>
      <w:rPr>
        <w:rFonts w:ascii="Symbol" w:hAnsi="Symbol"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6">
    <w:nsid w:val="7F4E164F"/>
    <w:multiLevelType w:val="hybridMultilevel"/>
    <w:tmpl w:val="F8B6F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11"/>
  </w:num>
  <w:num w:numId="4">
    <w:abstractNumId w:val="4"/>
  </w:num>
  <w:num w:numId="5">
    <w:abstractNumId w:val="1"/>
  </w:num>
  <w:num w:numId="6">
    <w:abstractNumId w:val="17"/>
  </w:num>
  <w:num w:numId="7">
    <w:abstractNumId w:val="20"/>
  </w:num>
  <w:num w:numId="8">
    <w:abstractNumId w:val="2"/>
  </w:num>
  <w:num w:numId="9">
    <w:abstractNumId w:val="22"/>
  </w:num>
  <w:num w:numId="10">
    <w:abstractNumId w:val="25"/>
  </w:num>
  <w:num w:numId="11">
    <w:abstractNumId w:val="14"/>
  </w:num>
  <w:num w:numId="12">
    <w:abstractNumId w:val="12"/>
  </w:num>
  <w:num w:numId="13">
    <w:abstractNumId w:val="15"/>
  </w:num>
  <w:num w:numId="14">
    <w:abstractNumId w:val="33"/>
  </w:num>
  <w:num w:numId="15">
    <w:abstractNumId w:val="18"/>
  </w:num>
  <w:num w:numId="16">
    <w:abstractNumId w:val="21"/>
  </w:num>
  <w:num w:numId="17">
    <w:abstractNumId w:val="13"/>
  </w:num>
  <w:num w:numId="18">
    <w:abstractNumId w:val="29"/>
  </w:num>
  <w:num w:numId="19">
    <w:abstractNumId w:val="5"/>
  </w:num>
  <w:num w:numId="20">
    <w:abstractNumId w:val="28"/>
  </w:num>
  <w:num w:numId="21">
    <w:abstractNumId w:val="26"/>
  </w:num>
  <w:num w:numId="22">
    <w:abstractNumId w:val="10"/>
  </w:num>
  <w:num w:numId="23">
    <w:abstractNumId w:val="0"/>
  </w:num>
  <w:num w:numId="24">
    <w:abstractNumId w:val="16"/>
  </w:num>
  <w:num w:numId="25">
    <w:abstractNumId w:val="35"/>
  </w:num>
  <w:num w:numId="26">
    <w:abstractNumId w:val="7"/>
  </w:num>
  <w:num w:numId="27">
    <w:abstractNumId w:val="6"/>
  </w:num>
  <w:num w:numId="28">
    <w:abstractNumId w:val="36"/>
  </w:num>
  <w:num w:numId="29">
    <w:abstractNumId w:val="9"/>
  </w:num>
  <w:num w:numId="30">
    <w:abstractNumId w:val="34"/>
  </w:num>
  <w:num w:numId="31">
    <w:abstractNumId w:val="30"/>
  </w:num>
  <w:num w:numId="32">
    <w:abstractNumId w:val="3"/>
  </w:num>
  <w:num w:numId="33">
    <w:abstractNumId w:val="19"/>
  </w:num>
  <w:num w:numId="34">
    <w:abstractNumId w:val="24"/>
  </w:num>
  <w:num w:numId="35">
    <w:abstractNumId w:val="27"/>
  </w:num>
  <w:num w:numId="36">
    <w:abstractNumId w:val="23"/>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8D4"/>
    <w:rsid w:val="00036CC3"/>
    <w:rsid w:val="00047945"/>
    <w:rsid w:val="00081499"/>
    <w:rsid w:val="000D0842"/>
    <w:rsid w:val="000E6AC1"/>
    <w:rsid w:val="00174DD1"/>
    <w:rsid w:val="00185D05"/>
    <w:rsid w:val="00191EC8"/>
    <w:rsid w:val="00196BBF"/>
    <w:rsid w:val="001A56CC"/>
    <w:rsid w:val="001B47AE"/>
    <w:rsid w:val="002735D7"/>
    <w:rsid w:val="002813AD"/>
    <w:rsid w:val="00287C67"/>
    <w:rsid w:val="00342A98"/>
    <w:rsid w:val="00346EA6"/>
    <w:rsid w:val="00356101"/>
    <w:rsid w:val="0037772F"/>
    <w:rsid w:val="003A7DF3"/>
    <w:rsid w:val="00410848"/>
    <w:rsid w:val="004305CE"/>
    <w:rsid w:val="00434C77"/>
    <w:rsid w:val="00466DDE"/>
    <w:rsid w:val="005078E4"/>
    <w:rsid w:val="00527C05"/>
    <w:rsid w:val="00544EC4"/>
    <w:rsid w:val="0055135A"/>
    <w:rsid w:val="00565225"/>
    <w:rsid w:val="0058152A"/>
    <w:rsid w:val="0059799F"/>
    <w:rsid w:val="00631F82"/>
    <w:rsid w:val="006369B2"/>
    <w:rsid w:val="006378D4"/>
    <w:rsid w:val="00652FE8"/>
    <w:rsid w:val="0069797A"/>
    <w:rsid w:val="006D77FD"/>
    <w:rsid w:val="006F0478"/>
    <w:rsid w:val="007101E1"/>
    <w:rsid w:val="00750A39"/>
    <w:rsid w:val="00767709"/>
    <w:rsid w:val="007830FE"/>
    <w:rsid w:val="007835D0"/>
    <w:rsid w:val="00783E7D"/>
    <w:rsid w:val="007920B7"/>
    <w:rsid w:val="00794B9F"/>
    <w:rsid w:val="00797887"/>
    <w:rsid w:val="008759EA"/>
    <w:rsid w:val="008A6C42"/>
    <w:rsid w:val="008B490C"/>
    <w:rsid w:val="008E2942"/>
    <w:rsid w:val="008F091C"/>
    <w:rsid w:val="00940F95"/>
    <w:rsid w:val="009552CC"/>
    <w:rsid w:val="00981D74"/>
    <w:rsid w:val="009A0AD1"/>
    <w:rsid w:val="009A192A"/>
    <w:rsid w:val="009D6AF5"/>
    <w:rsid w:val="009E3E23"/>
    <w:rsid w:val="00A027E4"/>
    <w:rsid w:val="00A07E66"/>
    <w:rsid w:val="00AE0FA0"/>
    <w:rsid w:val="00B13EE0"/>
    <w:rsid w:val="00B244AD"/>
    <w:rsid w:val="00B36F56"/>
    <w:rsid w:val="00B607E5"/>
    <w:rsid w:val="00BC6BEB"/>
    <w:rsid w:val="00BD41DA"/>
    <w:rsid w:val="00BE624A"/>
    <w:rsid w:val="00BF2776"/>
    <w:rsid w:val="00C457AB"/>
    <w:rsid w:val="00CA3199"/>
    <w:rsid w:val="00CA5323"/>
    <w:rsid w:val="00CA6B88"/>
    <w:rsid w:val="00CB05CD"/>
    <w:rsid w:val="00CB3E0B"/>
    <w:rsid w:val="00CF4FD8"/>
    <w:rsid w:val="00D419E9"/>
    <w:rsid w:val="00D52F27"/>
    <w:rsid w:val="00D94AE7"/>
    <w:rsid w:val="00DD4EBF"/>
    <w:rsid w:val="00E562AB"/>
    <w:rsid w:val="00ED18D4"/>
    <w:rsid w:val="00ED76B0"/>
    <w:rsid w:val="00EE17E1"/>
    <w:rsid w:val="00EF396E"/>
    <w:rsid w:val="00F230AD"/>
    <w:rsid w:val="00F62496"/>
    <w:rsid w:val="00F769CE"/>
    <w:rsid w:val="00FB38D3"/>
    <w:rsid w:val="00FC19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499"/>
    <w:rPr>
      <w:sz w:val="24"/>
      <w:szCs w:val="24"/>
    </w:rPr>
  </w:style>
  <w:style w:type="paragraph" w:styleId="Ttulo2">
    <w:name w:val="heading 2"/>
    <w:basedOn w:val="Normal"/>
    <w:next w:val="Normal"/>
    <w:link w:val="Ttulo2Car"/>
    <w:qFormat/>
    <w:rsid w:val="001A56CC"/>
    <w:pPr>
      <w:pBdr>
        <w:top w:val="double" w:sz="6" w:space="1" w:color="auto"/>
        <w:between w:val="double" w:sz="6" w:space="1" w:color="auto"/>
      </w:pBdr>
      <w:spacing w:after="101" w:line="216" w:lineRule="atLeast"/>
      <w:jc w:val="both"/>
      <w:outlineLvl w:val="1"/>
    </w:pPr>
    <w:rPr>
      <w:rFonts w:ascii="Arial" w:hAnsi="Arial"/>
      <w:sz w:val="18"/>
      <w:szCs w:val="20"/>
      <w:lang w:val="es-ES_tradnl" w:eastAsia="es-ES"/>
    </w:rPr>
  </w:style>
  <w:style w:type="paragraph" w:styleId="Ttulo3">
    <w:name w:val="heading 3"/>
    <w:basedOn w:val="Normal"/>
    <w:next w:val="Normal"/>
    <w:link w:val="Ttulo3Car"/>
    <w:qFormat/>
    <w:rsid w:val="001A56CC"/>
    <w:pPr>
      <w:keepNext/>
      <w:spacing w:after="101" w:line="232" w:lineRule="exact"/>
      <w:jc w:val="center"/>
      <w:outlineLvl w:val="2"/>
    </w:pPr>
    <w:rPr>
      <w:rFonts w:ascii="Arial" w:hAnsi="Arial"/>
      <w:b/>
      <w:color w:val="FFFF00"/>
      <w:sz w:val="18"/>
      <w:szCs w:val="20"/>
      <w:lang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8759EA"/>
    <w:pPr>
      <w:tabs>
        <w:tab w:val="center" w:pos="4252"/>
        <w:tab w:val="right" w:pos="8504"/>
      </w:tabs>
    </w:pPr>
  </w:style>
  <w:style w:type="paragraph" w:styleId="Piedepgina">
    <w:name w:val="footer"/>
    <w:basedOn w:val="Normal"/>
    <w:rsid w:val="008759EA"/>
    <w:pPr>
      <w:tabs>
        <w:tab w:val="center" w:pos="4252"/>
        <w:tab w:val="right" w:pos="8504"/>
      </w:tabs>
    </w:pPr>
  </w:style>
  <w:style w:type="paragraph" w:customStyle="1" w:styleId="Texto">
    <w:name w:val="Texto"/>
    <w:basedOn w:val="Normal"/>
    <w:link w:val="TextoCar"/>
    <w:rsid w:val="00750A39"/>
    <w:pPr>
      <w:spacing w:after="101" w:line="216" w:lineRule="exact"/>
      <w:ind w:firstLine="288"/>
      <w:jc w:val="both"/>
    </w:pPr>
    <w:rPr>
      <w:rFonts w:ascii="Arial" w:hAnsi="Arial" w:cs="Arial"/>
      <w:sz w:val="18"/>
      <w:szCs w:val="18"/>
      <w:lang w:val="es-ES" w:eastAsia="es-ES"/>
    </w:rPr>
  </w:style>
  <w:style w:type="paragraph" w:customStyle="1" w:styleId="texto0">
    <w:name w:val="texto"/>
    <w:basedOn w:val="Normal"/>
    <w:rsid w:val="00940F95"/>
    <w:pPr>
      <w:spacing w:after="101" w:line="216" w:lineRule="atLeast"/>
      <w:ind w:firstLine="288"/>
      <w:jc w:val="both"/>
    </w:pPr>
    <w:rPr>
      <w:rFonts w:ascii="Arial" w:hAnsi="Arial" w:cs="Arial"/>
      <w:sz w:val="18"/>
      <w:szCs w:val="20"/>
      <w:lang w:eastAsia="es-ES"/>
    </w:rPr>
  </w:style>
  <w:style w:type="paragraph" w:styleId="Prrafodelista">
    <w:name w:val="List Paragraph"/>
    <w:basedOn w:val="Normal"/>
    <w:uiPriority w:val="34"/>
    <w:qFormat/>
    <w:rsid w:val="00191EC8"/>
    <w:pPr>
      <w:spacing w:after="200" w:line="276" w:lineRule="auto"/>
      <w:ind w:left="720"/>
      <w:contextualSpacing/>
    </w:pPr>
    <w:rPr>
      <w:rFonts w:ascii="Calibri" w:eastAsia="Calibri" w:hAnsi="Calibri"/>
      <w:sz w:val="22"/>
      <w:szCs w:val="22"/>
      <w:lang w:eastAsia="en-US"/>
    </w:rPr>
  </w:style>
  <w:style w:type="character" w:customStyle="1" w:styleId="TextoCar">
    <w:name w:val="Texto Car"/>
    <w:link w:val="Texto"/>
    <w:rsid w:val="00BF2776"/>
    <w:rPr>
      <w:rFonts w:ascii="Arial" w:hAnsi="Arial" w:cs="Arial"/>
      <w:sz w:val="18"/>
      <w:szCs w:val="18"/>
      <w:lang w:val="es-ES" w:eastAsia="es-ES"/>
    </w:rPr>
  </w:style>
  <w:style w:type="paragraph" w:customStyle="1" w:styleId="CABEZA">
    <w:name w:val="CABEZA"/>
    <w:basedOn w:val="Normal"/>
    <w:rsid w:val="00BF2776"/>
    <w:pPr>
      <w:jc w:val="center"/>
    </w:pPr>
    <w:rPr>
      <w:rFonts w:cs="Arial"/>
      <w:b/>
      <w:sz w:val="28"/>
      <w:szCs w:val="28"/>
      <w:lang w:val="es-ES_tradnl"/>
    </w:rPr>
  </w:style>
  <w:style w:type="paragraph" w:customStyle="1" w:styleId="ANOTACION">
    <w:name w:val="ANOTACION"/>
    <w:basedOn w:val="Normal"/>
    <w:rsid w:val="00BF2776"/>
    <w:pPr>
      <w:spacing w:before="101" w:after="101" w:line="216" w:lineRule="atLeast"/>
      <w:jc w:val="center"/>
    </w:pPr>
    <w:rPr>
      <w:b/>
      <w:sz w:val="18"/>
      <w:szCs w:val="20"/>
      <w:lang w:val="es-ES_tradnl" w:eastAsia="es-ES"/>
    </w:rPr>
  </w:style>
  <w:style w:type="paragraph" w:customStyle="1" w:styleId="Titulo1">
    <w:name w:val="Titulo 1"/>
    <w:basedOn w:val="Texto"/>
    <w:rsid w:val="00BF2776"/>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Titulo2">
    <w:name w:val="Titulo 2"/>
    <w:basedOn w:val="Texto"/>
    <w:rsid w:val="00BF2776"/>
    <w:pPr>
      <w:pBdr>
        <w:top w:val="double" w:sz="6" w:space="1" w:color="auto"/>
      </w:pBdr>
      <w:spacing w:line="240" w:lineRule="auto"/>
      <w:ind w:firstLine="0"/>
      <w:outlineLvl w:val="1"/>
    </w:pPr>
    <w:rPr>
      <w:szCs w:val="20"/>
      <w:lang w:val="es-MX"/>
    </w:rPr>
  </w:style>
  <w:style w:type="paragraph" w:customStyle="1" w:styleId="Estilo1xx">
    <w:name w:val="Estilo1xx"/>
    <w:basedOn w:val="Texto"/>
    <w:rsid w:val="00BF2776"/>
    <w:pPr>
      <w:ind w:left="2115" w:hanging="435"/>
    </w:pPr>
    <w:rPr>
      <w:lang w:val="es-MX"/>
    </w:rPr>
  </w:style>
  <w:style w:type="paragraph" w:customStyle="1" w:styleId="ecxecxecxmsonormal">
    <w:name w:val="ecxecxecxmsonormal"/>
    <w:basedOn w:val="Normal"/>
    <w:rsid w:val="0069797A"/>
    <w:pPr>
      <w:spacing w:after="324"/>
    </w:pPr>
  </w:style>
  <w:style w:type="paragraph" w:styleId="Textosinformato">
    <w:name w:val="Plain Text"/>
    <w:basedOn w:val="Normal"/>
    <w:link w:val="TextosinformatoCar"/>
    <w:rsid w:val="007920B7"/>
    <w:rPr>
      <w:rFonts w:ascii="Courier New" w:hAnsi="Courier New" w:cs="Courier New"/>
      <w:sz w:val="20"/>
      <w:szCs w:val="20"/>
      <w:lang w:val="es-ES" w:eastAsia="es-ES"/>
    </w:rPr>
  </w:style>
  <w:style w:type="character" w:customStyle="1" w:styleId="TextosinformatoCar">
    <w:name w:val="Texto sin formato Car"/>
    <w:link w:val="Textosinformato"/>
    <w:rsid w:val="007920B7"/>
    <w:rPr>
      <w:rFonts w:ascii="Courier New" w:hAnsi="Courier New" w:cs="Courier New"/>
      <w:lang w:val="es-ES" w:eastAsia="es-ES"/>
    </w:rPr>
  </w:style>
  <w:style w:type="character" w:styleId="Textoennegrita">
    <w:name w:val="Strong"/>
    <w:uiPriority w:val="22"/>
    <w:qFormat/>
    <w:rsid w:val="00D419E9"/>
    <w:rPr>
      <w:b/>
      <w:bCs/>
    </w:rPr>
  </w:style>
  <w:style w:type="paragraph" w:customStyle="1" w:styleId="Normal0">
    <w:name w:val="[Normal]"/>
    <w:rsid w:val="008A6C42"/>
    <w:pPr>
      <w:widowControl w:val="0"/>
      <w:autoSpaceDE w:val="0"/>
      <w:autoSpaceDN w:val="0"/>
      <w:adjustRightInd w:val="0"/>
    </w:pPr>
    <w:rPr>
      <w:rFonts w:ascii="Arial" w:hAnsi="Arial" w:cs="Arial"/>
      <w:sz w:val="24"/>
      <w:szCs w:val="24"/>
    </w:rPr>
  </w:style>
  <w:style w:type="paragraph" w:styleId="NormalWeb">
    <w:name w:val="Normal (Web)"/>
    <w:basedOn w:val="Normal"/>
    <w:uiPriority w:val="99"/>
    <w:unhideWhenUsed/>
    <w:rsid w:val="008F091C"/>
    <w:pPr>
      <w:spacing w:before="100" w:beforeAutospacing="1" w:after="100" w:afterAutospacing="1"/>
    </w:pPr>
    <w:rPr>
      <w:rFonts w:ascii="Arial" w:hAnsi="Arial" w:cs="Arial"/>
      <w:sz w:val="20"/>
      <w:szCs w:val="20"/>
    </w:rPr>
  </w:style>
  <w:style w:type="paragraph" w:customStyle="1" w:styleId="ROMANOS">
    <w:name w:val="ROMANOS"/>
    <w:basedOn w:val="Normal"/>
    <w:rsid w:val="00CB3E0B"/>
    <w:pPr>
      <w:tabs>
        <w:tab w:val="left" w:pos="990"/>
      </w:tabs>
      <w:spacing w:after="101" w:line="216" w:lineRule="atLeast"/>
      <w:ind w:left="990" w:hanging="720"/>
      <w:jc w:val="both"/>
    </w:pPr>
    <w:rPr>
      <w:rFonts w:ascii="Arial" w:hAnsi="Arial" w:cs="Arial"/>
      <w:sz w:val="18"/>
      <w:szCs w:val="20"/>
      <w:lang w:eastAsia="es-ES"/>
    </w:rPr>
  </w:style>
  <w:style w:type="character" w:styleId="Hipervnculo">
    <w:name w:val="Hyperlink"/>
    <w:uiPriority w:val="99"/>
    <w:unhideWhenUsed/>
    <w:rsid w:val="00565225"/>
    <w:rPr>
      <w:color w:val="0000FF"/>
      <w:u w:val="single"/>
    </w:rPr>
  </w:style>
  <w:style w:type="character" w:customStyle="1" w:styleId="emphasis">
    <w:name w:val="emphasis"/>
    <w:basedOn w:val="Fuentedeprrafopredeter"/>
    <w:rsid w:val="00EE17E1"/>
  </w:style>
  <w:style w:type="character" w:customStyle="1" w:styleId="Ttulo2Car">
    <w:name w:val="Título 2 Car"/>
    <w:link w:val="Ttulo2"/>
    <w:rsid w:val="001A56CC"/>
    <w:rPr>
      <w:rFonts w:ascii="Arial" w:hAnsi="Arial"/>
      <w:sz w:val="18"/>
      <w:lang w:val="es-ES_tradnl" w:eastAsia="es-ES"/>
    </w:rPr>
  </w:style>
  <w:style w:type="character" w:customStyle="1" w:styleId="Ttulo3Car">
    <w:name w:val="Título 3 Car"/>
    <w:link w:val="Ttulo3"/>
    <w:rsid w:val="001A56CC"/>
    <w:rPr>
      <w:rFonts w:ascii="Arial" w:hAnsi="Arial"/>
      <w:b/>
      <w:color w:val="FFFF00"/>
      <w:sz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209566">
      <w:bodyDiv w:val="1"/>
      <w:marLeft w:val="0"/>
      <w:marRight w:val="0"/>
      <w:marTop w:val="0"/>
      <w:marBottom w:val="0"/>
      <w:divBdr>
        <w:top w:val="none" w:sz="0" w:space="0" w:color="auto"/>
        <w:left w:val="none" w:sz="0" w:space="0" w:color="auto"/>
        <w:bottom w:val="none" w:sz="0" w:space="0" w:color="auto"/>
        <w:right w:val="none" w:sz="0" w:space="0" w:color="auto"/>
      </w:divBdr>
      <w:divsChild>
        <w:div w:id="1656689786">
          <w:marLeft w:val="0"/>
          <w:marRight w:val="0"/>
          <w:marTop w:val="240"/>
          <w:marBottom w:val="0"/>
          <w:divBdr>
            <w:top w:val="none" w:sz="0" w:space="0" w:color="auto"/>
            <w:left w:val="none" w:sz="0" w:space="0" w:color="auto"/>
            <w:bottom w:val="none" w:sz="0" w:space="0" w:color="auto"/>
            <w:right w:val="none" w:sz="0" w:space="0" w:color="auto"/>
          </w:divBdr>
          <w:divsChild>
            <w:div w:id="60560905">
              <w:marLeft w:val="0"/>
              <w:marRight w:val="0"/>
              <w:marTop w:val="0"/>
              <w:marBottom w:val="0"/>
              <w:divBdr>
                <w:top w:val="none" w:sz="0" w:space="0" w:color="auto"/>
                <w:left w:val="none" w:sz="0" w:space="0" w:color="auto"/>
                <w:bottom w:val="none" w:sz="0" w:space="0" w:color="auto"/>
                <w:right w:val="none" w:sz="0" w:space="0" w:color="auto"/>
              </w:divBdr>
              <w:divsChild>
                <w:div w:id="521748374">
                  <w:marLeft w:val="0"/>
                  <w:marRight w:val="0"/>
                  <w:marTop w:val="0"/>
                  <w:marBottom w:val="240"/>
                  <w:divBdr>
                    <w:top w:val="none" w:sz="0" w:space="0" w:color="auto"/>
                    <w:left w:val="none" w:sz="0" w:space="0" w:color="auto"/>
                    <w:bottom w:val="none" w:sz="0" w:space="0" w:color="auto"/>
                    <w:right w:val="none" w:sz="0" w:space="0" w:color="auto"/>
                  </w:divBdr>
                  <w:divsChild>
                    <w:div w:id="602618127">
                      <w:marLeft w:val="0"/>
                      <w:marRight w:val="0"/>
                      <w:marTop w:val="0"/>
                      <w:marBottom w:val="0"/>
                      <w:divBdr>
                        <w:top w:val="none" w:sz="0" w:space="0" w:color="auto"/>
                        <w:left w:val="none" w:sz="0" w:space="0" w:color="auto"/>
                        <w:bottom w:val="none" w:sz="0" w:space="0" w:color="auto"/>
                        <w:right w:val="none" w:sz="0" w:space="0" w:color="auto"/>
                      </w:divBdr>
                      <w:divsChild>
                        <w:div w:id="137569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674900">
      <w:bodyDiv w:val="1"/>
      <w:marLeft w:val="0"/>
      <w:marRight w:val="0"/>
      <w:marTop w:val="0"/>
      <w:marBottom w:val="0"/>
      <w:divBdr>
        <w:top w:val="none" w:sz="0" w:space="0" w:color="auto"/>
        <w:left w:val="none" w:sz="0" w:space="0" w:color="auto"/>
        <w:bottom w:val="none" w:sz="0" w:space="0" w:color="auto"/>
        <w:right w:val="none" w:sz="0" w:space="0" w:color="auto"/>
      </w:divBdr>
      <w:divsChild>
        <w:div w:id="1037389237">
          <w:marLeft w:val="0"/>
          <w:marRight w:val="0"/>
          <w:marTop w:val="240"/>
          <w:marBottom w:val="0"/>
          <w:divBdr>
            <w:top w:val="none" w:sz="0" w:space="0" w:color="auto"/>
            <w:left w:val="none" w:sz="0" w:space="0" w:color="auto"/>
            <w:bottom w:val="none" w:sz="0" w:space="0" w:color="auto"/>
            <w:right w:val="none" w:sz="0" w:space="0" w:color="auto"/>
          </w:divBdr>
          <w:divsChild>
            <w:div w:id="265428382">
              <w:marLeft w:val="0"/>
              <w:marRight w:val="0"/>
              <w:marTop w:val="0"/>
              <w:marBottom w:val="0"/>
              <w:divBdr>
                <w:top w:val="none" w:sz="0" w:space="0" w:color="auto"/>
                <w:left w:val="none" w:sz="0" w:space="0" w:color="auto"/>
                <w:bottom w:val="none" w:sz="0" w:space="0" w:color="auto"/>
                <w:right w:val="none" w:sz="0" w:space="0" w:color="auto"/>
              </w:divBdr>
              <w:divsChild>
                <w:div w:id="1320229680">
                  <w:marLeft w:val="0"/>
                  <w:marRight w:val="0"/>
                  <w:marTop w:val="0"/>
                  <w:marBottom w:val="240"/>
                  <w:divBdr>
                    <w:top w:val="none" w:sz="0" w:space="0" w:color="auto"/>
                    <w:left w:val="none" w:sz="0" w:space="0" w:color="auto"/>
                    <w:bottom w:val="none" w:sz="0" w:space="0" w:color="auto"/>
                    <w:right w:val="none" w:sz="0" w:space="0" w:color="auto"/>
                  </w:divBdr>
                  <w:divsChild>
                    <w:div w:id="292294025">
                      <w:marLeft w:val="0"/>
                      <w:marRight w:val="0"/>
                      <w:marTop w:val="0"/>
                      <w:marBottom w:val="0"/>
                      <w:divBdr>
                        <w:top w:val="none" w:sz="0" w:space="0" w:color="auto"/>
                        <w:left w:val="none" w:sz="0" w:space="0" w:color="auto"/>
                        <w:bottom w:val="none" w:sz="0" w:space="0" w:color="auto"/>
                        <w:right w:val="none" w:sz="0" w:space="0" w:color="auto"/>
                      </w:divBdr>
                      <w:divsChild>
                        <w:div w:id="2029287089">
                          <w:marLeft w:val="0"/>
                          <w:marRight w:val="0"/>
                          <w:marTop w:val="0"/>
                          <w:marBottom w:val="0"/>
                          <w:divBdr>
                            <w:top w:val="none" w:sz="0" w:space="0" w:color="auto"/>
                            <w:left w:val="none" w:sz="0" w:space="0" w:color="auto"/>
                            <w:bottom w:val="none" w:sz="0" w:space="0" w:color="auto"/>
                            <w:right w:val="none" w:sz="0" w:space="0" w:color="auto"/>
                          </w:divBdr>
                          <w:divsChild>
                            <w:div w:id="1148282937">
                              <w:marLeft w:val="0"/>
                              <w:marRight w:val="0"/>
                              <w:marTop w:val="0"/>
                              <w:marBottom w:val="120"/>
                              <w:divBdr>
                                <w:top w:val="none" w:sz="0" w:space="0" w:color="E4E3E3"/>
                                <w:left w:val="single" w:sz="12" w:space="4" w:color="E4E3E3"/>
                                <w:bottom w:val="none" w:sz="0" w:space="0" w:color="E4E3E3"/>
                                <w:right w:val="none" w:sz="0" w:space="0" w:color="E4E3E3"/>
                              </w:divBdr>
                            </w:div>
                          </w:divsChild>
                        </w:div>
                      </w:divsChild>
                    </w:div>
                  </w:divsChild>
                </w:div>
              </w:divsChild>
            </w:div>
          </w:divsChild>
        </w:div>
      </w:divsChild>
    </w:div>
    <w:div w:id="1553885295">
      <w:bodyDiv w:val="1"/>
      <w:marLeft w:val="0"/>
      <w:marRight w:val="0"/>
      <w:marTop w:val="0"/>
      <w:marBottom w:val="0"/>
      <w:divBdr>
        <w:top w:val="none" w:sz="0" w:space="0" w:color="auto"/>
        <w:left w:val="none" w:sz="0" w:space="0" w:color="auto"/>
        <w:bottom w:val="none" w:sz="0" w:space="0" w:color="auto"/>
        <w:right w:val="none" w:sz="0" w:space="0" w:color="auto"/>
      </w:divBdr>
      <w:divsChild>
        <w:div w:id="266081968">
          <w:marLeft w:val="0"/>
          <w:marRight w:val="0"/>
          <w:marTop w:val="240"/>
          <w:marBottom w:val="0"/>
          <w:divBdr>
            <w:top w:val="none" w:sz="0" w:space="0" w:color="auto"/>
            <w:left w:val="none" w:sz="0" w:space="0" w:color="auto"/>
            <w:bottom w:val="none" w:sz="0" w:space="0" w:color="auto"/>
            <w:right w:val="none" w:sz="0" w:space="0" w:color="auto"/>
          </w:divBdr>
          <w:divsChild>
            <w:div w:id="201750060">
              <w:marLeft w:val="0"/>
              <w:marRight w:val="0"/>
              <w:marTop w:val="0"/>
              <w:marBottom w:val="0"/>
              <w:divBdr>
                <w:top w:val="none" w:sz="0" w:space="0" w:color="auto"/>
                <w:left w:val="none" w:sz="0" w:space="0" w:color="auto"/>
                <w:bottom w:val="none" w:sz="0" w:space="0" w:color="auto"/>
                <w:right w:val="none" w:sz="0" w:space="0" w:color="auto"/>
              </w:divBdr>
              <w:divsChild>
                <w:div w:id="1372532156">
                  <w:marLeft w:val="0"/>
                  <w:marRight w:val="0"/>
                  <w:marTop w:val="0"/>
                  <w:marBottom w:val="240"/>
                  <w:divBdr>
                    <w:top w:val="none" w:sz="0" w:space="0" w:color="auto"/>
                    <w:left w:val="none" w:sz="0" w:space="0" w:color="auto"/>
                    <w:bottom w:val="none" w:sz="0" w:space="0" w:color="auto"/>
                    <w:right w:val="none" w:sz="0" w:space="0" w:color="auto"/>
                  </w:divBdr>
                  <w:divsChild>
                    <w:div w:id="1114013353">
                      <w:marLeft w:val="0"/>
                      <w:marRight w:val="0"/>
                      <w:marTop w:val="0"/>
                      <w:marBottom w:val="0"/>
                      <w:divBdr>
                        <w:top w:val="none" w:sz="0" w:space="0" w:color="auto"/>
                        <w:left w:val="none" w:sz="0" w:space="0" w:color="auto"/>
                        <w:bottom w:val="none" w:sz="0" w:space="0" w:color="auto"/>
                        <w:right w:val="none" w:sz="0" w:space="0" w:color="auto"/>
                      </w:divBdr>
                      <w:divsChild>
                        <w:div w:id="1659116801">
                          <w:marLeft w:val="0"/>
                          <w:marRight w:val="0"/>
                          <w:marTop w:val="0"/>
                          <w:marBottom w:val="0"/>
                          <w:divBdr>
                            <w:top w:val="none" w:sz="0" w:space="0" w:color="auto"/>
                            <w:left w:val="none" w:sz="0" w:space="0" w:color="auto"/>
                            <w:bottom w:val="none" w:sz="0" w:space="0" w:color="auto"/>
                            <w:right w:val="none" w:sz="0" w:space="0" w:color="auto"/>
                          </w:divBdr>
                          <w:divsChild>
                            <w:div w:id="70933396">
                              <w:marLeft w:val="0"/>
                              <w:marRight w:val="0"/>
                              <w:marTop w:val="0"/>
                              <w:marBottom w:val="0"/>
                              <w:divBdr>
                                <w:top w:val="none" w:sz="0" w:space="0" w:color="auto"/>
                                <w:left w:val="none" w:sz="0" w:space="0" w:color="auto"/>
                                <w:bottom w:val="none" w:sz="0" w:space="0" w:color="auto"/>
                                <w:right w:val="none" w:sz="0" w:space="0" w:color="auto"/>
                              </w:divBdr>
                            </w:div>
                            <w:div w:id="6349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8118</Words>
  <Characters>44650</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C</vt:lpstr>
    </vt:vector>
  </TitlesOfParts>
  <Company> </Company>
  <LinksUpToDate>false</LinksUpToDate>
  <CharactersWithSpaces>52663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Jorge A G</dc:creator>
  <cp:lastModifiedBy>Usuario</cp:lastModifiedBy>
  <cp:revision>2</cp:revision>
  <cp:lastPrinted>2009-11-25T05:54:00Z</cp:lastPrinted>
  <dcterms:created xsi:type="dcterms:W3CDTF">2012-10-06T01:08:00Z</dcterms:created>
  <dcterms:modified xsi:type="dcterms:W3CDTF">2012-10-06T01:08:00Z</dcterms:modified>
</cp:coreProperties>
</file>